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AAF5F" w14:textId="00FB1666" w:rsidR="00AE5EB5" w:rsidRPr="006F64EC" w:rsidRDefault="00AE5EB5" w:rsidP="006F64EC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6F64EC">
        <w:rPr>
          <w:b/>
          <w:bCs/>
          <w:sz w:val="28"/>
          <w:szCs w:val="28"/>
          <w:u w:val="single"/>
          <w:lang w:val="en-US"/>
        </w:rPr>
        <w:t>SVP Diversity Workforce Data</w:t>
      </w:r>
      <w:r w:rsidR="007A4FEA" w:rsidRPr="006F64EC">
        <w:rPr>
          <w:b/>
          <w:bCs/>
          <w:sz w:val="28"/>
          <w:szCs w:val="28"/>
          <w:u w:val="single"/>
          <w:lang w:val="en-US"/>
        </w:rPr>
        <w:t xml:space="preserve"> 202</w:t>
      </w:r>
      <w:r w:rsidR="009D736A">
        <w:rPr>
          <w:b/>
          <w:bCs/>
          <w:sz w:val="28"/>
          <w:szCs w:val="28"/>
          <w:u w:val="single"/>
          <w:lang w:val="en-US"/>
        </w:rPr>
        <w:t>1</w:t>
      </w:r>
    </w:p>
    <w:p w14:paraId="6D9B60DB" w14:textId="23787E6C" w:rsidR="006C0341" w:rsidRPr="00F503C4" w:rsidRDefault="006F2879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 xml:space="preserve">Workforce </w:t>
      </w:r>
      <w:r w:rsidR="00AE5EB5" w:rsidRPr="00AE5EB5">
        <w:rPr>
          <w:b/>
          <w:bCs/>
          <w:u w:val="single"/>
          <w:lang w:val="en-US"/>
        </w:rPr>
        <w:t>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1418"/>
        <w:gridCol w:w="1418"/>
        <w:gridCol w:w="1418"/>
        <w:gridCol w:w="1418"/>
        <w:gridCol w:w="1418"/>
        <w:gridCol w:w="1418"/>
      </w:tblGrid>
      <w:tr w:rsidR="006C0341" w14:paraId="5964B36C" w14:textId="77777777" w:rsidTr="007A4FEA">
        <w:tc>
          <w:tcPr>
            <w:tcW w:w="988" w:type="dxa"/>
          </w:tcPr>
          <w:p w14:paraId="4BB16ED6" w14:textId="77777777" w:rsidR="006C0341" w:rsidRDefault="006C0341">
            <w:pPr>
              <w:rPr>
                <w:lang w:val="en-US"/>
              </w:rPr>
            </w:pPr>
          </w:p>
        </w:tc>
        <w:tc>
          <w:tcPr>
            <w:tcW w:w="1418" w:type="dxa"/>
          </w:tcPr>
          <w:p w14:paraId="70F5E3FA" w14:textId="7A8653A0" w:rsidR="006C0341" w:rsidRPr="007A4FEA" w:rsidRDefault="006C0341" w:rsidP="007A4FEA">
            <w:pPr>
              <w:jc w:val="center"/>
              <w:rPr>
                <w:b/>
                <w:bCs/>
                <w:lang w:val="en-US"/>
              </w:rPr>
            </w:pPr>
            <w:r w:rsidRPr="007A4FEA">
              <w:rPr>
                <w:b/>
                <w:bCs/>
                <w:lang w:val="en-US"/>
              </w:rPr>
              <w:t>Number of Casual Workers</w:t>
            </w:r>
          </w:p>
        </w:tc>
        <w:tc>
          <w:tcPr>
            <w:tcW w:w="1418" w:type="dxa"/>
          </w:tcPr>
          <w:p w14:paraId="2437DEAA" w14:textId="03E0C496" w:rsidR="006C0341" w:rsidRPr="007A4FEA" w:rsidRDefault="006C0341" w:rsidP="007A4FEA">
            <w:pPr>
              <w:jc w:val="center"/>
              <w:rPr>
                <w:b/>
                <w:bCs/>
                <w:lang w:val="en-US"/>
              </w:rPr>
            </w:pPr>
            <w:r w:rsidRPr="007A4FEA">
              <w:rPr>
                <w:b/>
                <w:bCs/>
                <w:lang w:val="en-US"/>
              </w:rPr>
              <w:t>Number of Part Time Employees</w:t>
            </w:r>
          </w:p>
        </w:tc>
        <w:tc>
          <w:tcPr>
            <w:tcW w:w="1418" w:type="dxa"/>
          </w:tcPr>
          <w:p w14:paraId="0E65E884" w14:textId="05BCB212" w:rsidR="006C0341" w:rsidRPr="007A4FEA" w:rsidRDefault="006C0341" w:rsidP="007A4FEA">
            <w:pPr>
              <w:jc w:val="center"/>
              <w:rPr>
                <w:b/>
                <w:bCs/>
                <w:lang w:val="en-US"/>
              </w:rPr>
            </w:pPr>
            <w:r w:rsidRPr="007A4FEA">
              <w:rPr>
                <w:b/>
                <w:bCs/>
                <w:lang w:val="en-US"/>
              </w:rPr>
              <w:t>Number of Full Time Employees</w:t>
            </w:r>
          </w:p>
        </w:tc>
        <w:tc>
          <w:tcPr>
            <w:tcW w:w="1418" w:type="dxa"/>
          </w:tcPr>
          <w:p w14:paraId="7695D1BD" w14:textId="69339961" w:rsidR="006C0341" w:rsidRPr="007A4FEA" w:rsidRDefault="007A4FEA" w:rsidP="007A4FEA">
            <w:pPr>
              <w:jc w:val="center"/>
              <w:rPr>
                <w:b/>
                <w:bCs/>
                <w:lang w:val="en-US"/>
              </w:rPr>
            </w:pPr>
            <w:r w:rsidRPr="007A4FEA">
              <w:rPr>
                <w:b/>
                <w:bCs/>
                <w:lang w:val="en-US"/>
              </w:rPr>
              <w:t>Casual Worker Distribution</w:t>
            </w:r>
          </w:p>
        </w:tc>
        <w:tc>
          <w:tcPr>
            <w:tcW w:w="1418" w:type="dxa"/>
          </w:tcPr>
          <w:p w14:paraId="6C9C2BEE" w14:textId="2494AB9F" w:rsidR="006C0341" w:rsidRPr="007A4FEA" w:rsidRDefault="007A4FEA" w:rsidP="007A4FEA">
            <w:pPr>
              <w:jc w:val="center"/>
              <w:rPr>
                <w:b/>
                <w:bCs/>
                <w:lang w:val="en-US"/>
              </w:rPr>
            </w:pPr>
            <w:r w:rsidRPr="007A4FEA">
              <w:rPr>
                <w:b/>
                <w:bCs/>
                <w:lang w:val="en-US"/>
              </w:rPr>
              <w:t>Part Time Distribution</w:t>
            </w:r>
          </w:p>
        </w:tc>
        <w:tc>
          <w:tcPr>
            <w:tcW w:w="1418" w:type="dxa"/>
          </w:tcPr>
          <w:p w14:paraId="3E4E356F" w14:textId="65439C71" w:rsidR="006C0341" w:rsidRPr="007A4FEA" w:rsidRDefault="007A4FEA" w:rsidP="007A4FEA">
            <w:pPr>
              <w:jc w:val="center"/>
              <w:rPr>
                <w:b/>
                <w:bCs/>
                <w:lang w:val="en-US"/>
              </w:rPr>
            </w:pPr>
            <w:r w:rsidRPr="007A4FEA">
              <w:rPr>
                <w:b/>
                <w:bCs/>
                <w:lang w:val="en-US"/>
              </w:rPr>
              <w:t>Full Time Distribution</w:t>
            </w:r>
          </w:p>
        </w:tc>
      </w:tr>
      <w:tr w:rsidR="006C0341" w14:paraId="12013438" w14:textId="77777777" w:rsidTr="007A4FEA">
        <w:tc>
          <w:tcPr>
            <w:tcW w:w="988" w:type="dxa"/>
          </w:tcPr>
          <w:p w14:paraId="074416BF" w14:textId="19344BE9" w:rsidR="006C0341" w:rsidRPr="007A4FEA" w:rsidRDefault="007A4FEA">
            <w:pPr>
              <w:rPr>
                <w:b/>
                <w:bCs/>
                <w:lang w:val="en-US"/>
              </w:rPr>
            </w:pPr>
            <w:r w:rsidRPr="007A4FEA">
              <w:rPr>
                <w:b/>
                <w:bCs/>
                <w:lang w:val="en-US"/>
              </w:rPr>
              <w:t>Female</w:t>
            </w:r>
          </w:p>
        </w:tc>
        <w:tc>
          <w:tcPr>
            <w:tcW w:w="1418" w:type="dxa"/>
          </w:tcPr>
          <w:p w14:paraId="5A294F10" w14:textId="2A83402B" w:rsidR="006C0341" w:rsidRDefault="007A4FEA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9D736A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14:paraId="7DCB030F" w14:textId="15C69843" w:rsidR="006C0341" w:rsidRDefault="00D90C70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</w:t>
            </w:r>
          </w:p>
        </w:tc>
        <w:tc>
          <w:tcPr>
            <w:tcW w:w="1418" w:type="dxa"/>
          </w:tcPr>
          <w:p w14:paraId="70414604" w14:textId="2CAA9011" w:rsidR="006C0341" w:rsidRDefault="007A4FEA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D45BAD">
              <w:rPr>
                <w:lang w:val="en-US"/>
              </w:rPr>
              <w:t>0</w:t>
            </w:r>
          </w:p>
        </w:tc>
        <w:tc>
          <w:tcPr>
            <w:tcW w:w="1418" w:type="dxa"/>
          </w:tcPr>
          <w:p w14:paraId="1327F321" w14:textId="40F61806" w:rsidR="006C0341" w:rsidRDefault="008A7BD0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7A4FEA">
              <w:rPr>
                <w:lang w:val="en-US"/>
              </w:rPr>
              <w:t>%</w:t>
            </w:r>
          </w:p>
        </w:tc>
        <w:tc>
          <w:tcPr>
            <w:tcW w:w="1418" w:type="dxa"/>
          </w:tcPr>
          <w:p w14:paraId="7EA6ED36" w14:textId="5EBE3292" w:rsidR="006C0341" w:rsidRDefault="00CD42AD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  <w:r w:rsidR="007A4FEA">
              <w:rPr>
                <w:lang w:val="en-US"/>
              </w:rPr>
              <w:t>%</w:t>
            </w:r>
          </w:p>
        </w:tc>
        <w:tc>
          <w:tcPr>
            <w:tcW w:w="1418" w:type="dxa"/>
          </w:tcPr>
          <w:p w14:paraId="64E7219B" w14:textId="54ED01EA" w:rsidR="006C0341" w:rsidRDefault="00A37C15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="007A4FEA">
              <w:rPr>
                <w:lang w:val="en-US"/>
              </w:rPr>
              <w:t>%</w:t>
            </w:r>
          </w:p>
        </w:tc>
      </w:tr>
      <w:tr w:rsidR="006C0341" w14:paraId="448AC6BA" w14:textId="77777777" w:rsidTr="007A4FEA">
        <w:tc>
          <w:tcPr>
            <w:tcW w:w="988" w:type="dxa"/>
          </w:tcPr>
          <w:p w14:paraId="533CF3F4" w14:textId="5462ACE9" w:rsidR="006C0341" w:rsidRPr="007A4FEA" w:rsidRDefault="007A4FEA">
            <w:pPr>
              <w:rPr>
                <w:b/>
                <w:bCs/>
                <w:lang w:val="en-US"/>
              </w:rPr>
            </w:pPr>
            <w:r w:rsidRPr="007A4FEA">
              <w:rPr>
                <w:b/>
                <w:bCs/>
                <w:lang w:val="en-US"/>
              </w:rPr>
              <w:t>Male</w:t>
            </w:r>
          </w:p>
        </w:tc>
        <w:tc>
          <w:tcPr>
            <w:tcW w:w="1418" w:type="dxa"/>
          </w:tcPr>
          <w:p w14:paraId="6467A68A" w14:textId="55B34828" w:rsidR="006C0341" w:rsidRDefault="007A4FEA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418" w:type="dxa"/>
          </w:tcPr>
          <w:p w14:paraId="776CE03C" w14:textId="72A7B8D4" w:rsidR="006C0341" w:rsidRDefault="007A4FEA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  <w:r w:rsidR="00D90C70">
              <w:rPr>
                <w:lang w:val="en-US"/>
              </w:rPr>
              <w:t>3</w:t>
            </w:r>
          </w:p>
        </w:tc>
        <w:tc>
          <w:tcPr>
            <w:tcW w:w="1418" w:type="dxa"/>
          </w:tcPr>
          <w:p w14:paraId="26E3516A" w14:textId="0E2F72D1" w:rsidR="006C0341" w:rsidRDefault="005A693B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  <w:tc>
          <w:tcPr>
            <w:tcW w:w="1418" w:type="dxa"/>
          </w:tcPr>
          <w:p w14:paraId="79B70D78" w14:textId="52EDE285" w:rsidR="006C0341" w:rsidRDefault="008A7BD0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7A4FEA">
              <w:rPr>
                <w:lang w:val="en-US"/>
              </w:rPr>
              <w:t>%</w:t>
            </w:r>
          </w:p>
        </w:tc>
        <w:tc>
          <w:tcPr>
            <w:tcW w:w="1418" w:type="dxa"/>
          </w:tcPr>
          <w:p w14:paraId="7E8CBD1C" w14:textId="4CE1BCC9" w:rsidR="006C0341" w:rsidRDefault="008D77AC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41</w:t>
            </w:r>
            <w:r w:rsidR="007A4FEA">
              <w:rPr>
                <w:lang w:val="en-US"/>
              </w:rPr>
              <w:t>%</w:t>
            </w:r>
          </w:p>
        </w:tc>
        <w:tc>
          <w:tcPr>
            <w:tcW w:w="1418" w:type="dxa"/>
          </w:tcPr>
          <w:p w14:paraId="783FD993" w14:textId="3BC1AD22" w:rsidR="006C0341" w:rsidRDefault="009F434B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  <w:r w:rsidR="007A4FEA">
              <w:rPr>
                <w:lang w:val="en-US"/>
              </w:rPr>
              <w:t>%</w:t>
            </w:r>
          </w:p>
        </w:tc>
      </w:tr>
      <w:tr w:rsidR="006C0341" w14:paraId="234F5851" w14:textId="77777777" w:rsidTr="007A4FEA">
        <w:tc>
          <w:tcPr>
            <w:tcW w:w="988" w:type="dxa"/>
          </w:tcPr>
          <w:p w14:paraId="1AF69DD2" w14:textId="282FC6E5" w:rsidR="006C0341" w:rsidRPr="007A4FEA" w:rsidRDefault="007A4FEA">
            <w:pPr>
              <w:rPr>
                <w:b/>
                <w:bCs/>
                <w:lang w:val="en-US"/>
              </w:rPr>
            </w:pPr>
            <w:r w:rsidRPr="007A4FEA">
              <w:rPr>
                <w:b/>
                <w:bCs/>
                <w:lang w:val="en-US"/>
              </w:rPr>
              <w:t>Total</w:t>
            </w:r>
          </w:p>
        </w:tc>
        <w:tc>
          <w:tcPr>
            <w:tcW w:w="1418" w:type="dxa"/>
          </w:tcPr>
          <w:p w14:paraId="02114960" w14:textId="7057A260" w:rsidR="006C0341" w:rsidRDefault="009D736A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418" w:type="dxa"/>
          </w:tcPr>
          <w:p w14:paraId="6C38914F" w14:textId="10A068D5" w:rsidR="006C0341" w:rsidRDefault="007A4FEA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  <w:r w:rsidR="00D45BAD">
              <w:rPr>
                <w:lang w:val="en-US"/>
              </w:rPr>
              <w:t>7</w:t>
            </w:r>
          </w:p>
        </w:tc>
        <w:tc>
          <w:tcPr>
            <w:tcW w:w="1418" w:type="dxa"/>
          </w:tcPr>
          <w:p w14:paraId="512B6EB3" w14:textId="6BDE3C5F" w:rsidR="006C0341" w:rsidRDefault="007A4FEA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418" w:type="dxa"/>
          </w:tcPr>
          <w:p w14:paraId="0A42A245" w14:textId="21BE65A8" w:rsidR="006C0341" w:rsidRDefault="00CD42AD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7A4FEA">
              <w:rPr>
                <w:lang w:val="en-US"/>
              </w:rPr>
              <w:t>%</w:t>
            </w:r>
          </w:p>
        </w:tc>
        <w:tc>
          <w:tcPr>
            <w:tcW w:w="1418" w:type="dxa"/>
          </w:tcPr>
          <w:p w14:paraId="3957F15B" w14:textId="2E083200" w:rsidR="006C0341" w:rsidRDefault="00A37C15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46</w:t>
            </w:r>
            <w:r w:rsidR="007A4FEA">
              <w:rPr>
                <w:lang w:val="en-US"/>
              </w:rPr>
              <w:t>%</w:t>
            </w:r>
          </w:p>
        </w:tc>
        <w:tc>
          <w:tcPr>
            <w:tcW w:w="1418" w:type="dxa"/>
          </w:tcPr>
          <w:p w14:paraId="7DD3040D" w14:textId="659B302F" w:rsidR="006C0341" w:rsidRDefault="009F434B" w:rsidP="007A4F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47</w:t>
            </w:r>
            <w:r w:rsidR="007A4FEA">
              <w:rPr>
                <w:lang w:val="en-US"/>
              </w:rPr>
              <w:t>%</w:t>
            </w:r>
          </w:p>
        </w:tc>
      </w:tr>
    </w:tbl>
    <w:p w14:paraId="33579832" w14:textId="77777777" w:rsidR="006F64EC" w:rsidRDefault="006F64EC">
      <w:pPr>
        <w:rPr>
          <w:lang w:val="en-US"/>
        </w:rPr>
      </w:pPr>
    </w:p>
    <w:p w14:paraId="570B469D" w14:textId="0EE870BB" w:rsidR="00F503C4" w:rsidRDefault="00213FBD" w:rsidP="00110EFC">
      <w:pPr>
        <w:rPr>
          <w:lang w:val="en-US"/>
        </w:rPr>
      </w:pPr>
      <w:r>
        <w:rPr>
          <w:noProof/>
        </w:rPr>
        <w:drawing>
          <wp:inline distT="0" distB="0" distL="0" distR="0" wp14:anchorId="49D7A9BD" wp14:editId="7197A221">
            <wp:extent cx="2697480" cy="1927860"/>
            <wp:effectExtent l="0" t="0" r="762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2B30A6F9-5376-4EAC-9CC1-A4A6E2CE9223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06"/>
        <w:gridCol w:w="2155"/>
        <w:gridCol w:w="2155"/>
      </w:tblGrid>
      <w:tr w:rsidR="00266DCC" w14:paraId="477736AD" w14:textId="77777777" w:rsidTr="00266DCC">
        <w:tc>
          <w:tcPr>
            <w:tcW w:w="4706" w:type="dxa"/>
          </w:tcPr>
          <w:p w14:paraId="50B653E6" w14:textId="6C9B67CE" w:rsidR="00266DCC" w:rsidRPr="00266DCC" w:rsidRDefault="00266DCC" w:rsidP="00110EFC">
            <w:pPr>
              <w:rPr>
                <w:b/>
                <w:bCs/>
                <w:lang w:val="en-US"/>
              </w:rPr>
            </w:pPr>
            <w:r w:rsidRPr="00266DCC">
              <w:rPr>
                <w:b/>
                <w:bCs/>
                <w:lang w:val="en-US"/>
              </w:rPr>
              <w:t>Division</w:t>
            </w:r>
          </w:p>
        </w:tc>
        <w:tc>
          <w:tcPr>
            <w:tcW w:w="2155" w:type="dxa"/>
          </w:tcPr>
          <w:p w14:paraId="7DBD8102" w14:textId="7161E804" w:rsidR="00266DCC" w:rsidRPr="00266DCC" w:rsidRDefault="00266DCC" w:rsidP="00266DCC">
            <w:pPr>
              <w:jc w:val="center"/>
              <w:rPr>
                <w:b/>
                <w:bCs/>
                <w:lang w:val="en-US"/>
              </w:rPr>
            </w:pPr>
            <w:r w:rsidRPr="00266DCC">
              <w:rPr>
                <w:b/>
                <w:bCs/>
                <w:lang w:val="en-US"/>
              </w:rPr>
              <w:t>Number of Workers</w:t>
            </w:r>
          </w:p>
        </w:tc>
        <w:tc>
          <w:tcPr>
            <w:tcW w:w="2155" w:type="dxa"/>
          </w:tcPr>
          <w:p w14:paraId="6A0B1D7D" w14:textId="63C233C1" w:rsidR="00266DCC" w:rsidRPr="00266DCC" w:rsidRDefault="00266DCC" w:rsidP="00266DCC">
            <w:pPr>
              <w:jc w:val="center"/>
              <w:rPr>
                <w:b/>
                <w:bCs/>
                <w:lang w:val="en-US"/>
              </w:rPr>
            </w:pPr>
            <w:r w:rsidRPr="00266DCC">
              <w:rPr>
                <w:b/>
                <w:bCs/>
                <w:lang w:val="en-US"/>
              </w:rPr>
              <w:t>Total Distribution</w:t>
            </w:r>
          </w:p>
        </w:tc>
      </w:tr>
      <w:tr w:rsidR="00266DCC" w14:paraId="3E92033E" w14:textId="77777777" w:rsidTr="00266DCC">
        <w:tc>
          <w:tcPr>
            <w:tcW w:w="4706" w:type="dxa"/>
          </w:tcPr>
          <w:p w14:paraId="437964C3" w14:textId="5EA2CB71" w:rsidR="00266DCC" w:rsidRDefault="00266DCC" w:rsidP="00266DCC">
            <w:pPr>
              <w:rPr>
                <w:lang w:val="en-US"/>
              </w:rPr>
            </w:pPr>
            <w:r>
              <w:rPr>
                <w:lang w:val="en-US"/>
              </w:rPr>
              <w:t>Depots</w:t>
            </w:r>
          </w:p>
        </w:tc>
        <w:tc>
          <w:tcPr>
            <w:tcW w:w="2155" w:type="dxa"/>
          </w:tcPr>
          <w:p w14:paraId="231B657B" w14:textId="7C105471" w:rsidR="00266DCC" w:rsidRDefault="00A211AB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2155" w:type="dxa"/>
          </w:tcPr>
          <w:p w14:paraId="6D10F4F3" w14:textId="4B181829" w:rsidR="00266DCC" w:rsidRDefault="00C93B85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  <w:r w:rsidR="00266DCC">
              <w:rPr>
                <w:lang w:val="en-US"/>
              </w:rPr>
              <w:t>%</w:t>
            </w:r>
          </w:p>
        </w:tc>
      </w:tr>
      <w:tr w:rsidR="00266DCC" w14:paraId="2F53D3F9" w14:textId="77777777" w:rsidTr="00266DCC">
        <w:tc>
          <w:tcPr>
            <w:tcW w:w="4706" w:type="dxa"/>
          </w:tcPr>
          <w:p w14:paraId="029329D5" w14:textId="592CCD8E" w:rsidR="00266DCC" w:rsidRDefault="00266DCC" w:rsidP="00110EFC">
            <w:pPr>
              <w:rPr>
                <w:lang w:val="en-US"/>
              </w:rPr>
            </w:pPr>
            <w:r>
              <w:rPr>
                <w:lang w:val="en-US"/>
              </w:rPr>
              <w:t>Executive</w:t>
            </w:r>
          </w:p>
        </w:tc>
        <w:tc>
          <w:tcPr>
            <w:tcW w:w="2155" w:type="dxa"/>
          </w:tcPr>
          <w:p w14:paraId="62B88EB8" w14:textId="19847BF3" w:rsidR="00266DCC" w:rsidRDefault="00A211AB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2155" w:type="dxa"/>
          </w:tcPr>
          <w:p w14:paraId="5D48077B" w14:textId="6AB69858" w:rsidR="00266DCC" w:rsidRDefault="00C93B85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266DCC">
              <w:rPr>
                <w:lang w:val="en-US"/>
              </w:rPr>
              <w:t>%</w:t>
            </w:r>
          </w:p>
        </w:tc>
      </w:tr>
      <w:tr w:rsidR="00266DCC" w14:paraId="6963F54F" w14:textId="77777777" w:rsidTr="00266DCC">
        <w:tc>
          <w:tcPr>
            <w:tcW w:w="4706" w:type="dxa"/>
          </w:tcPr>
          <w:p w14:paraId="3DF7CC93" w14:textId="1DAEE796" w:rsidR="00266DCC" w:rsidRDefault="00266DCC" w:rsidP="00110EFC">
            <w:pPr>
              <w:rPr>
                <w:lang w:val="en-US"/>
              </w:rPr>
            </w:pPr>
            <w:r>
              <w:rPr>
                <w:lang w:val="en-US"/>
              </w:rPr>
              <w:t>Finance</w:t>
            </w:r>
          </w:p>
        </w:tc>
        <w:tc>
          <w:tcPr>
            <w:tcW w:w="2155" w:type="dxa"/>
          </w:tcPr>
          <w:p w14:paraId="66700A6D" w14:textId="6253E318" w:rsidR="00266DCC" w:rsidRDefault="00A211AB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55" w:type="dxa"/>
          </w:tcPr>
          <w:p w14:paraId="734CEE6E" w14:textId="1373E295" w:rsidR="00266DCC" w:rsidRDefault="00C93B85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66DCC">
              <w:rPr>
                <w:lang w:val="en-US"/>
              </w:rPr>
              <w:t>%</w:t>
            </w:r>
          </w:p>
        </w:tc>
      </w:tr>
      <w:tr w:rsidR="00266DCC" w14:paraId="454B8EC3" w14:textId="77777777" w:rsidTr="00266DCC">
        <w:tc>
          <w:tcPr>
            <w:tcW w:w="4706" w:type="dxa"/>
          </w:tcPr>
          <w:p w14:paraId="3AC6C193" w14:textId="4768AD63" w:rsidR="00266DCC" w:rsidRDefault="00266DCC" w:rsidP="00110EFC">
            <w:pPr>
              <w:rPr>
                <w:lang w:val="en-US"/>
              </w:rPr>
            </w:pPr>
            <w:r>
              <w:rPr>
                <w:lang w:val="en-US"/>
              </w:rPr>
              <w:t>Fundraising, Marketing &amp; Communications (FMC)</w:t>
            </w:r>
          </w:p>
        </w:tc>
        <w:tc>
          <w:tcPr>
            <w:tcW w:w="2155" w:type="dxa"/>
          </w:tcPr>
          <w:p w14:paraId="75FCF120" w14:textId="64A374C5" w:rsidR="00266DCC" w:rsidRDefault="00A211AB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2155" w:type="dxa"/>
          </w:tcPr>
          <w:p w14:paraId="03BB58D5" w14:textId="7D991486" w:rsidR="00266DCC" w:rsidRDefault="00DE0758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66DCC">
              <w:rPr>
                <w:lang w:val="en-US"/>
              </w:rPr>
              <w:t>%</w:t>
            </w:r>
          </w:p>
        </w:tc>
      </w:tr>
      <w:tr w:rsidR="00266DCC" w14:paraId="21C49883" w14:textId="77777777" w:rsidTr="00266DCC">
        <w:tc>
          <w:tcPr>
            <w:tcW w:w="4706" w:type="dxa"/>
          </w:tcPr>
          <w:p w14:paraId="7EB0AF32" w14:textId="56F3635D" w:rsidR="00266DCC" w:rsidRDefault="00266DCC" w:rsidP="00110EFC">
            <w:pPr>
              <w:rPr>
                <w:lang w:val="en-US"/>
              </w:rPr>
            </w:pPr>
            <w:r>
              <w:rPr>
                <w:lang w:val="en-US"/>
              </w:rPr>
              <w:t>Governance &amp; Compliance (G &amp; C)</w:t>
            </w:r>
          </w:p>
        </w:tc>
        <w:tc>
          <w:tcPr>
            <w:tcW w:w="2155" w:type="dxa"/>
          </w:tcPr>
          <w:p w14:paraId="5B3E01A1" w14:textId="01F96E6C" w:rsidR="00266DCC" w:rsidRDefault="00A211AB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2155" w:type="dxa"/>
          </w:tcPr>
          <w:p w14:paraId="74D1700D" w14:textId="1F7D6A2F" w:rsidR="00266DCC" w:rsidRDefault="00DE0758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  <w:r w:rsidR="00266DCC">
              <w:rPr>
                <w:lang w:val="en-US"/>
              </w:rPr>
              <w:t>%</w:t>
            </w:r>
          </w:p>
        </w:tc>
      </w:tr>
      <w:tr w:rsidR="00266DCC" w14:paraId="4235BCE5" w14:textId="77777777" w:rsidTr="00266DCC">
        <w:tc>
          <w:tcPr>
            <w:tcW w:w="4706" w:type="dxa"/>
          </w:tcPr>
          <w:p w14:paraId="0E1BA1C0" w14:textId="6BA66A13" w:rsidR="00266DCC" w:rsidRDefault="00266DCC" w:rsidP="00110EFC">
            <w:pPr>
              <w:rPr>
                <w:lang w:val="en-US"/>
              </w:rPr>
            </w:pPr>
            <w:r>
              <w:rPr>
                <w:lang w:val="en-US"/>
              </w:rPr>
              <w:t>Hostel</w:t>
            </w:r>
          </w:p>
        </w:tc>
        <w:tc>
          <w:tcPr>
            <w:tcW w:w="2155" w:type="dxa"/>
          </w:tcPr>
          <w:p w14:paraId="5518F327" w14:textId="6F274FAD" w:rsidR="00266DCC" w:rsidRDefault="0045641F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155" w:type="dxa"/>
          </w:tcPr>
          <w:p w14:paraId="3935060C" w14:textId="5230171A" w:rsidR="00266DCC" w:rsidRDefault="00DE0758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266DCC">
              <w:rPr>
                <w:lang w:val="en-US"/>
              </w:rPr>
              <w:t>%</w:t>
            </w:r>
          </w:p>
        </w:tc>
      </w:tr>
      <w:tr w:rsidR="00266DCC" w14:paraId="31216D94" w14:textId="77777777" w:rsidTr="00266DCC">
        <w:tc>
          <w:tcPr>
            <w:tcW w:w="4706" w:type="dxa"/>
          </w:tcPr>
          <w:p w14:paraId="229C826C" w14:textId="17C1E676" w:rsidR="00266DCC" w:rsidRDefault="00266DCC" w:rsidP="00110EFC">
            <w:pPr>
              <w:rPr>
                <w:lang w:val="en-US"/>
              </w:rPr>
            </w:pPr>
            <w:r>
              <w:rPr>
                <w:lang w:val="en-US"/>
              </w:rPr>
              <w:t>Membership</w:t>
            </w:r>
          </w:p>
        </w:tc>
        <w:tc>
          <w:tcPr>
            <w:tcW w:w="2155" w:type="dxa"/>
          </w:tcPr>
          <w:p w14:paraId="69442BEB" w14:textId="77E7CEA0" w:rsidR="00266DCC" w:rsidRDefault="0045641F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2155" w:type="dxa"/>
          </w:tcPr>
          <w:p w14:paraId="7755C988" w14:textId="58EB17F0" w:rsidR="00266DCC" w:rsidRDefault="00266DCC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5%</w:t>
            </w:r>
          </w:p>
        </w:tc>
      </w:tr>
      <w:tr w:rsidR="00266DCC" w14:paraId="532B66D4" w14:textId="77777777" w:rsidTr="00266DCC">
        <w:tc>
          <w:tcPr>
            <w:tcW w:w="4706" w:type="dxa"/>
          </w:tcPr>
          <w:p w14:paraId="73AF4AA2" w14:textId="74D1734C" w:rsidR="00266DCC" w:rsidRDefault="00266DCC" w:rsidP="00266DCC">
            <w:pPr>
              <w:rPr>
                <w:lang w:val="en-US"/>
              </w:rPr>
            </w:pPr>
            <w:r>
              <w:rPr>
                <w:lang w:val="en-US"/>
              </w:rPr>
              <w:t>Retail</w:t>
            </w:r>
          </w:p>
        </w:tc>
        <w:tc>
          <w:tcPr>
            <w:tcW w:w="2155" w:type="dxa"/>
          </w:tcPr>
          <w:p w14:paraId="26CF119A" w14:textId="7DD4B079" w:rsidR="00266DCC" w:rsidRDefault="007D2CBE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93</w:t>
            </w:r>
          </w:p>
        </w:tc>
        <w:tc>
          <w:tcPr>
            <w:tcW w:w="2155" w:type="dxa"/>
          </w:tcPr>
          <w:p w14:paraId="70E31862" w14:textId="1B6F9E47" w:rsidR="00266DCC" w:rsidRDefault="004D5B40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  <w:r w:rsidR="00266DCC">
              <w:rPr>
                <w:lang w:val="en-US"/>
              </w:rPr>
              <w:t>%</w:t>
            </w:r>
          </w:p>
        </w:tc>
      </w:tr>
      <w:tr w:rsidR="00266DCC" w14:paraId="27EAC56F" w14:textId="77777777" w:rsidTr="00266DCC">
        <w:tc>
          <w:tcPr>
            <w:tcW w:w="4706" w:type="dxa"/>
          </w:tcPr>
          <w:p w14:paraId="7D61255B" w14:textId="22411649" w:rsidR="00266DCC" w:rsidRPr="00266DCC" w:rsidRDefault="00266DCC" w:rsidP="00266DCC">
            <w:pPr>
              <w:rPr>
                <w:lang w:val="en-US"/>
              </w:rPr>
            </w:pPr>
            <w:r w:rsidRPr="00266DCC">
              <w:rPr>
                <w:lang w:val="en-US"/>
              </w:rPr>
              <w:t>Support Centre</w:t>
            </w:r>
          </w:p>
        </w:tc>
        <w:tc>
          <w:tcPr>
            <w:tcW w:w="2155" w:type="dxa"/>
          </w:tcPr>
          <w:p w14:paraId="12E30055" w14:textId="36036494" w:rsidR="00266DCC" w:rsidRDefault="007D2CBE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45</w:t>
            </w:r>
          </w:p>
        </w:tc>
        <w:tc>
          <w:tcPr>
            <w:tcW w:w="2155" w:type="dxa"/>
          </w:tcPr>
          <w:p w14:paraId="2990827D" w14:textId="061FD0A5" w:rsidR="00266DCC" w:rsidRDefault="004D5B40" w:rsidP="00266DC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  <w:r w:rsidR="00266DCC">
              <w:rPr>
                <w:lang w:val="en-US"/>
              </w:rPr>
              <w:t>%</w:t>
            </w:r>
          </w:p>
        </w:tc>
      </w:tr>
    </w:tbl>
    <w:p w14:paraId="4163DA99" w14:textId="7CEE2150" w:rsidR="00266DCC" w:rsidRDefault="00266DCC" w:rsidP="00110EFC">
      <w:pPr>
        <w:rPr>
          <w:lang w:val="en-US"/>
        </w:rPr>
      </w:pPr>
    </w:p>
    <w:p w14:paraId="1478A477" w14:textId="5320EF79" w:rsidR="00CD03BF" w:rsidRDefault="00FB2F63" w:rsidP="00110EFC">
      <w:pPr>
        <w:rPr>
          <w:b/>
          <w:bCs/>
          <w:u w:val="single"/>
          <w:lang w:val="en-US"/>
        </w:rPr>
      </w:pPr>
      <w:r>
        <w:rPr>
          <w:noProof/>
        </w:rPr>
        <w:drawing>
          <wp:inline distT="0" distB="0" distL="0" distR="0" wp14:anchorId="318FD1F2" wp14:editId="7575F459">
            <wp:extent cx="4552950" cy="2790825"/>
            <wp:effectExtent l="0" t="0" r="0" b="9525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EDE23385-FFD9-47E0-B565-1D8C942952E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3D28583" w14:textId="1838954D" w:rsidR="006F2879" w:rsidRPr="00F503C4" w:rsidRDefault="006F2879" w:rsidP="00110EFC">
      <w:pPr>
        <w:rPr>
          <w:b/>
          <w:bCs/>
          <w:u w:val="single"/>
          <w:lang w:val="en-US"/>
        </w:rPr>
      </w:pPr>
      <w:r w:rsidRPr="006F64EC">
        <w:rPr>
          <w:b/>
          <w:bCs/>
          <w:u w:val="single"/>
          <w:lang w:val="en-US"/>
        </w:rPr>
        <w:lastRenderedPageBreak/>
        <w:t>Gender Pay Gap</w:t>
      </w:r>
      <w:r w:rsidR="00423F6B">
        <w:rPr>
          <w:b/>
          <w:bCs/>
          <w:u w:val="single"/>
          <w:lang w:val="en-US"/>
        </w:rPr>
        <w:t xml:space="preserve">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6F64EC" w14:paraId="67CC9F19" w14:textId="77777777" w:rsidTr="00EA3D60">
        <w:tc>
          <w:tcPr>
            <w:tcW w:w="9016" w:type="dxa"/>
            <w:gridSpan w:val="3"/>
          </w:tcPr>
          <w:p w14:paraId="6B56461C" w14:textId="77FF1A6D" w:rsidR="006F64EC" w:rsidRDefault="006F64EC" w:rsidP="006F6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Difference between </w:t>
            </w:r>
            <w:r w:rsidR="002835A0">
              <w:rPr>
                <w:lang w:val="en-US"/>
              </w:rPr>
              <w:t>M</w:t>
            </w:r>
            <w:r>
              <w:rPr>
                <w:lang w:val="en-US"/>
              </w:rPr>
              <w:t xml:space="preserve">en and </w:t>
            </w:r>
            <w:r w:rsidR="002835A0">
              <w:rPr>
                <w:lang w:val="en-US"/>
              </w:rPr>
              <w:t>W</w:t>
            </w:r>
            <w:r>
              <w:rPr>
                <w:lang w:val="en-US"/>
              </w:rPr>
              <w:t>om</w:t>
            </w:r>
            <w:r w:rsidR="002835A0">
              <w:rPr>
                <w:lang w:val="en-US"/>
              </w:rPr>
              <w:t>e</w:t>
            </w:r>
            <w:r>
              <w:rPr>
                <w:lang w:val="en-US"/>
              </w:rPr>
              <w:t>n</w:t>
            </w:r>
          </w:p>
        </w:tc>
      </w:tr>
      <w:tr w:rsidR="006F64EC" w14:paraId="04D43036" w14:textId="77777777" w:rsidTr="006F64EC">
        <w:tc>
          <w:tcPr>
            <w:tcW w:w="3005" w:type="dxa"/>
          </w:tcPr>
          <w:p w14:paraId="300076E6" w14:textId="77777777" w:rsidR="006F64EC" w:rsidRDefault="006F64EC" w:rsidP="00110EFC">
            <w:pPr>
              <w:rPr>
                <w:lang w:val="en-US"/>
              </w:rPr>
            </w:pPr>
          </w:p>
        </w:tc>
        <w:tc>
          <w:tcPr>
            <w:tcW w:w="3005" w:type="dxa"/>
          </w:tcPr>
          <w:p w14:paraId="1CDE0FDA" w14:textId="399E572C" w:rsidR="006F64EC" w:rsidRDefault="006F64EC" w:rsidP="006F6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Mean</w:t>
            </w:r>
          </w:p>
        </w:tc>
        <w:tc>
          <w:tcPr>
            <w:tcW w:w="3006" w:type="dxa"/>
          </w:tcPr>
          <w:p w14:paraId="0E12DDD0" w14:textId="3AFCC2E2" w:rsidR="006F64EC" w:rsidRDefault="006F64EC" w:rsidP="006F6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Median</w:t>
            </w:r>
          </w:p>
        </w:tc>
      </w:tr>
      <w:tr w:rsidR="006F64EC" w14:paraId="3660B815" w14:textId="77777777" w:rsidTr="006F64EC">
        <w:tc>
          <w:tcPr>
            <w:tcW w:w="3005" w:type="dxa"/>
          </w:tcPr>
          <w:p w14:paraId="5B4A2B35" w14:textId="0884D367" w:rsidR="006F64EC" w:rsidRDefault="006F64EC" w:rsidP="00110EFC">
            <w:pPr>
              <w:rPr>
                <w:lang w:val="en-US"/>
              </w:rPr>
            </w:pPr>
            <w:r>
              <w:rPr>
                <w:lang w:val="en-US"/>
              </w:rPr>
              <w:t>Pay Gap</w:t>
            </w:r>
          </w:p>
        </w:tc>
        <w:tc>
          <w:tcPr>
            <w:tcW w:w="3005" w:type="dxa"/>
          </w:tcPr>
          <w:p w14:paraId="476874CF" w14:textId="0907BA69" w:rsidR="006F64EC" w:rsidRDefault="006F64EC" w:rsidP="006F6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-3</w:t>
            </w:r>
            <w:r w:rsidR="009334BF">
              <w:rPr>
                <w:lang w:val="en-US"/>
              </w:rPr>
              <w:t>.8</w:t>
            </w:r>
            <w:r>
              <w:rPr>
                <w:lang w:val="en-US"/>
              </w:rPr>
              <w:t>%</w:t>
            </w:r>
          </w:p>
        </w:tc>
        <w:tc>
          <w:tcPr>
            <w:tcW w:w="3006" w:type="dxa"/>
          </w:tcPr>
          <w:p w14:paraId="0D55F9E7" w14:textId="3CFBF717" w:rsidR="006F64EC" w:rsidRDefault="003D737F" w:rsidP="006F6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  <w:r w:rsidR="00EE4F46">
              <w:rPr>
                <w:lang w:val="en-US"/>
              </w:rPr>
              <w:t>5.4</w:t>
            </w:r>
            <w:r w:rsidR="006F64EC">
              <w:rPr>
                <w:lang w:val="en-US"/>
              </w:rPr>
              <w:t>%</w:t>
            </w:r>
          </w:p>
        </w:tc>
      </w:tr>
      <w:tr w:rsidR="006F64EC" w14:paraId="7A483AAC" w14:textId="77777777" w:rsidTr="006F64EC">
        <w:tc>
          <w:tcPr>
            <w:tcW w:w="3005" w:type="dxa"/>
          </w:tcPr>
          <w:p w14:paraId="3782DB11" w14:textId="36281993" w:rsidR="006F64EC" w:rsidRDefault="006F64EC" w:rsidP="00110EFC">
            <w:pPr>
              <w:rPr>
                <w:lang w:val="en-US"/>
              </w:rPr>
            </w:pPr>
            <w:r>
              <w:rPr>
                <w:lang w:val="en-US"/>
              </w:rPr>
              <w:t>Bonus Gap</w:t>
            </w:r>
          </w:p>
        </w:tc>
        <w:tc>
          <w:tcPr>
            <w:tcW w:w="3005" w:type="dxa"/>
          </w:tcPr>
          <w:p w14:paraId="321AE20F" w14:textId="239C5035" w:rsidR="006F64EC" w:rsidRDefault="00EE4F46" w:rsidP="006F6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14.8</w:t>
            </w:r>
            <w:r w:rsidR="006F64EC">
              <w:rPr>
                <w:lang w:val="en-US"/>
              </w:rPr>
              <w:t>%</w:t>
            </w:r>
          </w:p>
        </w:tc>
        <w:tc>
          <w:tcPr>
            <w:tcW w:w="3006" w:type="dxa"/>
          </w:tcPr>
          <w:p w14:paraId="4C5F2CD8" w14:textId="601F7CCA" w:rsidR="006F64EC" w:rsidRDefault="00EE4F46" w:rsidP="006F64E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</w:t>
            </w:r>
            <w:r w:rsidR="006F64EC">
              <w:rPr>
                <w:lang w:val="en-US"/>
              </w:rPr>
              <w:t>%</w:t>
            </w:r>
          </w:p>
        </w:tc>
      </w:tr>
    </w:tbl>
    <w:p w14:paraId="5B2DBCD4" w14:textId="22388B20" w:rsidR="006F2879" w:rsidRDefault="006F2879" w:rsidP="00110EFC">
      <w:pPr>
        <w:rPr>
          <w:lang w:val="en-US"/>
        </w:rPr>
      </w:pPr>
    </w:p>
    <w:p w14:paraId="6E3E1254" w14:textId="3F352740" w:rsidR="006F64EC" w:rsidRDefault="009C54ED" w:rsidP="00110EFC">
      <w:pPr>
        <w:rPr>
          <w:lang w:val="en-US"/>
        </w:rPr>
      </w:pPr>
      <w:r>
        <w:rPr>
          <w:noProof/>
        </w:rPr>
        <w:drawing>
          <wp:inline distT="0" distB="0" distL="0" distR="0" wp14:anchorId="3FD548BB" wp14:editId="48811EA0">
            <wp:extent cx="2903220" cy="1889760"/>
            <wp:effectExtent l="0" t="0" r="11430" b="15240"/>
            <wp:docPr id="4" name="Chart 4">
              <a:extLst xmlns:a="http://schemas.openxmlformats.org/drawingml/2006/main">
                <a:ext uri="{FF2B5EF4-FFF2-40B4-BE49-F238E27FC236}">
                  <a16:creationId xmlns:a16="http://schemas.microsoft.com/office/drawing/2014/main" id="{39A90474-A3EE-47D6-88FD-CCEE4A8E9F5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="002835A0" w:rsidRPr="002835A0">
        <w:rPr>
          <w:noProof/>
        </w:rPr>
        <w:t xml:space="preserve"> </w:t>
      </w:r>
      <w:r w:rsidR="0072418B">
        <w:rPr>
          <w:noProof/>
        </w:rPr>
        <w:drawing>
          <wp:inline distT="0" distB="0" distL="0" distR="0" wp14:anchorId="752F8A41" wp14:editId="779963AE">
            <wp:extent cx="2743200" cy="1912620"/>
            <wp:effectExtent l="0" t="0" r="0" b="11430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6F606105-51D5-46B0-8624-5B0DD24A6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478718F" w14:textId="3F42194B" w:rsidR="006F64EC" w:rsidRDefault="0016785D" w:rsidP="00110EFC">
      <w:pPr>
        <w:rPr>
          <w:lang w:val="en-US"/>
        </w:rPr>
      </w:pPr>
      <w:r>
        <w:rPr>
          <w:noProof/>
        </w:rPr>
        <w:drawing>
          <wp:inline distT="0" distB="0" distL="0" distR="0" wp14:anchorId="65D1171B" wp14:editId="53C2D1BF">
            <wp:extent cx="5753100" cy="2941320"/>
            <wp:effectExtent l="0" t="0" r="0" b="1143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D35D1DA0-7121-4A1E-BB66-29E61E0E8C8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296F27C" w14:textId="29827B1F" w:rsidR="0003636E" w:rsidRPr="00AE331B" w:rsidRDefault="00E76399" w:rsidP="00AE331B">
      <w:pPr>
        <w:rPr>
          <w:b/>
          <w:bCs/>
          <w:u w:val="single"/>
          <w:lang w:val="en-US"/>
        </w:rPr>
      </w:pPr>
      <w:r w:rsidRPr="00E76399">
        <w:rPr>
          <w:b/>
          <w:bCs/>
          <w:u w:val="single"/>
          <w:lang w:val="en-US"/>
        </w:rPr>
        <w:t>Written Statement</w:t>
      </w:r>
    </w:p>
    <w:p w14:paraId="6B4795D7" w14:textId="5548A31A" w:rsidR="00E76399" w:rsidRDefault="00E76399" w:rsidP="00E76399">
      <w:pPr>
        <w:spacing w:after="0"/>
        <w:rPr>
          <w:lang w:val="en-US"/>
        </w:rPr>
      </w:pPr>
      <w:r w:rsidRPr="00E76399">
        <w:rPr>
          <w:lang w:val="en-US"/>
        </w:rPr>
        <w:t xml:space="preserve">The </w:t>
      </w:r>
      <w:r w:rsidR="0003636E">
        <w:rPr>
          <w:lang w:val="en-US"/>
        </w:rPr>
        <w:t xml:space="preserve">CEO </w:t>
      </w:r>
      <w:r w:rsidRPr="00E76399">
        <w:rPr>
          <w:lang w:val="en-US"/>
        </w:rPr>
        <w:t xml:space="preserve">of </w:t>
      </w:r>
      <w:r w:rsidR="00C60AB7">
        <w:rPr>
          <w:lang w:val="en-US"/>
        </w:rPr>
        <w:t xml:space="preserve">the </w:t>
      </w:r>
      <w:r w:rsidR="0003636E">
        <w:rPr>
          <w:lang w:val="en-US"/>
        </w:rPr>
        <w:t>St Vincent de Paul Society (England and Wales)</w:t>
      </w:r>
      <w:r w:rsidRPr="00E76399">
        <w:rPr>
          <w:lang w:val="en-US"/>
        </w:rPr>
        <w:t xml:space="preserve">, </w:t>
      </w:r>
      <w:r w:rsidR="0003636E">
        <w:rPr>
          <w:lang w:val="en-US"/>
        </w:rPr>
        <w:t>Elizabeth Palmer</w:t>
      </w:r>
      <w:r w:rsidRPr="00E76399">
        <w:rPr>
          <w:lang w:val="en-US"/>
        </w:rPr>
        <w:t>, confirms that the information is accurate as at the time of publishing.</w:t>
      </w:r>
    </w:p>
    <w:p w14:paraId="28EF9E64" w14:textId="77777777" w:rsidR="00E76399" w:rsidRDefault="00E76399" w:rsidP="00110EFC">
      <w:pPr>
        <w:rPr>
          <w:b/>
          <w:bCs/>
          <w:u w:val="single"/>
          <w:lang w:val="en-US"/>
        </w:rPr>
      </w:pPr>
    </w:p>
    <w:p w14:paraId="192BA795" w14:textId="301B78A2" w:rsidR="006F2879" w:rsidRDefault="003D737F" w:rsidP="00110EFC">
      <w:pPr>
        <w:rPr>
          <w:b/>
          <w:bCs/>
          <w:u w:val="single"/>
          <w:lang w:val="en-US"/>
        </w:rPr>
      </w:pPr>
      <w:r>
        <w:rPr>
          <w:b/>
          <w:bCs/>
          <w:u w:val="single"/>
          <w:lang w:val="en-US"/>
        </w:rPr>
        <w:t>Narrative</w:t>
      </w:r>
    </w:p>
    <w:p w14:paraId="2767333B" w14:textId="16A15ABA" w:rsidR="003D737F" w:rsidRDefault="00913601" w:rsidP="003D737F">
      <w:pPr>
        <w:rPr>
          <w:lang w:val="en-US"/>
        </w:rPr>
      </w:pPr>
      <w:r>
        <w:rPr>
          <w:lang w:val="en-US"/>
        </w:rPr>
        <w:t>T</w:t>
      </w:r>
      <w:r w:rsidR="003D737F" w:rsidRPr="00F35194">
        <w:rPr>
          <w:lang w:val="en-US"/>
        </w:rPr>
        <w:t xml:space="preserve">his report sets out </w:t>
      </w:r>
      <w:r w:rsidR="003D737F">
        <w:rPr>
          <w:lang w:val="en-US"/>
        </w:rPr>
        <w:t xml:space="preserve">the SVP’s workforce data and </w:t>
      </w:r>
      <w:r w:rsidR="003D737F" w:rsidRPr="00F35194">
        <w:rPr>
          <w:lang w:val="en-US"/>
        </w:rPr>
        <w:t>gender pay gap</w:t>
      </w:r>
      <w:r w:rsidR="003D737F">
        <w:rPr>
          <w:lang w:val="en-US"/>
        </w:rPr>
        <w:t xml:space="preserve"> for April 202</w:t>
      </w:r>
      <w:r w:rsidR="004D00E1">
        <w:rPr>
          <w:lang w:val="en-US"/>
        </w:rPr>
        <w:t>1</w:t>
      </w:r>
      <w:r w:rsidR="003D737F" w:rsidRPr="00F35194">
        <w:rPr>
          <w:lang w:val="en-US"/>
        </w:rPr>
        <w:t>.</w:t>
      </w:r>
      <w:r w:rsidR="00F503C4">
        <w:rPr>
          <w:lang w:val="en-US"/>
        </w:rPr>
        <w:t xml:space="preserve"> The gender pay gap shows the difference between the average (mean or median) earnings of men and women</w:t>
      </w:r>
      <w:r w:rsidR="00A366DA">
        <w:rPr>
          <w:lang w:val="en-US"/>
        </w:rPr>
        <w:t>.</w:t>
      </w:r>
      <w:r w:rsidR="00F503C4">
        <w:rPr>
          <w:lang w:val="en-US"/>
        </w:rPr>
        <w:t xml:space="preserve"> </w:t>
      </w:r>
    </w:p>
    <w:p w14:paraId="213DC0E4" w14:textId="2FF3D7B6" w:rsidR="00F503C4" w:rsidRDefault="00F503C4" w:rsidP="00F503C4">
      <w:pPr>
        <w:rPr>
          <w:lang w:val="en-US"/>
        </w:rPr>
      </w:pPr>
      <w:r>
        <w:rPr>
          <w:lang w:val="en-US"/>
        </w:rPr>
        <w:t xml:space="preserve">The snapshot date for data in this report is the </w:t>
      </w:r>
      <w:proofErr w:type="gramStart"/>
      <w:r>
        <w:rPr>
          <w:lang w:val="en-US"/>
        </w:rPr>
        <w:t>5</w:t>
      </w:r>
      <w:r w:rsidRPr="00AE5EB5">
        <w:rPr>
          <w:vertAlign w:val="superscript"/>
          <w:lang w:val="en-US"/>
        </w:rPr>
        <w:t>th</w:t>
      </w:r>
      <w:proofErr w:type="gramEnd"/>
      <w:r>
        <w:rPr>
          <w:lang w:val="en-US"/>
        </w:rPr>
        <w:t xml:space="preserve"> April 202</w:t>
      </w:r>
      <w:r w:rsidR="004D00E1">
        <w:rPr>
          <w:lang w:val="en-US"/>
        </w:rPr>
        <w:t>1</w:t>
      </w:r>
      <w:r>
        <w:rPr>
          <w:lang w:val="en-US"/>
        </w:rPr>
        <w:t>. The workforce is defined as all paid staff contracted by the St Vincent de Paul Society including employees and casual workers and is made up of 25</w:t>
      </w:r>
      <w:r w:rsidR="004D00E1">
        <w:rPr>
          <w:lang w:val="en-US"/>
        </w:rPr>
        <w:t>5</w:t>
      </w:r>
      <w:r>
        <w:rPr>
          <w:lang w:val="en-US"/>
        </w:rPr>
        <w:t xml:space="preserve"> workers.</w:t>
      </w:r>
    </w:p>
    <w:p w14:paraId="0C43FF74" w14:textId="5C5C1A11" w:rsidR="00871BB0" w:rsidRDefault="00F35194" w:rsidP="00F35194">
      <w:pPr>
        <w:rPr>
          <w:lang w:val="en-US"/>
        </w:rPr>
      </w:pPr>
      <w:r>
        <w:rPr>
          <w:lang w:val="en-US"/>
        </w:rPr>
        <w:lastRenderedPageBreak/>
        <w:t xml:space="preserve">The </w:t>
      </w:r>
      <w:r w:rsidR="00913601">
        <w:rPr>
          <w:lang w:val="en-US"/>
        </w:rPr>
        <w:t xml:space="preserve">UK </w:t>
      </w:r>
      <w:r>
        <w:rPr>
          <w:lang w:val="en-US"/>
        </w:rPr>
        <w:t>national median pay gap for 20</w:t>
      </w:r>
      <w:r w:rsidR="00722396">
        <w:rPr>
          <w:lang w:val="en-US"/>
        </w:rPr>
        <w:t>20</w:t>
      </w:r>
      <w:r>
        <w:rPr>
          <w:lang w:val="en-US"/>
        </w:rPr>
        <w:t xml:space="preserve"> was 1</w:t>
      </w:r>
      <w:r w:rsidR="00722396">
        <w:rPr>
          <w:lang w:val="en-US"/>
        </w:rPr>
        <w:t>4.9</w:t>
      </w:r>
      <w:r>
        <w:rPr>
          <w:lang w:val="en-US"/>
        </w:rPr>
        <w:t>%</w:t>
      </w:r>
      <w:r w:rsidR="00E84CA0">
        <w:rPr>
          <w:lang w:val="en-US"/>
        </w:rPr>
        <w:t xml:space="preserve"> (O</w:t>
      </w:r>
      <w:r w:rsidR="00A366DA">
        <w:rPr>
          <w:lang w:val="en-US"/>
        </w:rPr>
        <w:t>ffice for National Statistics - ONS</w:t>
      </w:r>
      <w:r w:rsidR="00E84CA0">
        <w:rPr>
          <w:lang w:val="en-US"/>
        </w:rPr>
        <w:t>)</w:t>
      </w:r>
      <w:r w:rsidR="00A366DA">
        <w:rPr>
          <w:lang w:val="en-US"/>
        </w:rPr>
        <w:t xml:space="preserve"> </w:t>
      </w:r>
      <w:r w:rsidR="00E84CA0">
        <w:rPr>
          <w:lang w:val="en-US"/>
        </w:rPr>
        <w:t xml:space="preserve">and is reported to be around </w:t>
      </w:r>
      <w:r w:rsidR="00385000">
        <w:rPr>
          <w:lang w:val="en-US"/>
        </w:rPr>
        <w:t>2</w:t>
      </w:r>
      <w:r w:rsidR="00E84CA0">
        <w:rPr>
          <w:lang w:val="en-US"/>
        </w:rPr>
        <w:t xml:space="preserve">% within the </w:t>
      </w:r>
      <w:r w:rsidR="00F503C4">
        <w:rPr>
          <w:lang w:val="en-US"/>
        </w:rPr>
        <w:t>Charity</w:t>
      </w:r>
      <w:r w:rsidR="00E84CA0">
        <w:rPr>
          <w:lang w:val="en-US"/>
        </w:rPr>
        <w:t xml:space="preserve"> sector</w:t>
      </w:r>
      <w:r>
        <w:rPr>
          <w:lang w:val="en-US"/>
        </w:rPr>
        <w:t xml:space="preserve">. The SVP </w:t>
      </w:r>
      <w:r w:rsidR="000130C8">
        <w:rPr>
          <w:lang w:val="en-US"/>
        </w:rPr>
        <w:t xml:space="preserve">has a negative </w:t>
      </w:r>
      <w:r>
        <w:rPr>
          <w:lang w:val="en-US"/>
        </w:rPr>
        <w:t xml:space="preserve">median pay gap of </w:t>
      </w:r>
      <w:r w:rsidR="00413F14">
        <w:rPr>
          <w:lang w:val="en-US"/>
        </w:rPr>
        <w:t>5.4</w:t>
      </w:r>
      <w:r>
        <w:rPr>
          <w:lang w:val="en-US"/>
        </w:rPr>
        <w:t>%</w:t>
      </w:r>
      <w:r w:rsidR="000130C8">
        <w:rPr>
          <w:lang w:val="en-US"/>
        </w:rPr>
        <w:t xml:space="preserve"> which </w:t>
      </w:r>
      <w:r w:rsidR="00A366DA">
        <w:rPr>
          <w:lang w:val="en-US"/>
        </w:rPr>
        <w:t>shows that</w:t>
      </w:r>
      <w:r w:rsidR="000130C8">
        <w:rPr>
          <w:lang w:val="en-US"/>
        </w:rPr>
        <w:t xml:space="preserve"> overall male staff are paid </w:t>
      </w:r>
      <w:r>
        <w:rPr>
          <w:lang w:val="en-US"/>
        </w:rPr>
        <w:t xml:space="preserve">slightly </w:t>
      </w:r>
      <w:r w:rsidR="000130C8">
        <w:rPr>
          <w:lang w:val="en-US"/>
        </w:rPr>
        <w:t xml:space="preserve">less than female staff. </w:t>
      </w:r>
      <w:proofErr w:type="gramStart"/>
      <w:r w:rsidR="00913601">
        <w:rPr>
          <w:lang w:val="en-US"/>
        </w:rPr>
        <w:t>In reality this</w:t>
      </w:r>
      <w:proofErr w:type="gramEnd"/>
      <w:r w:rsidR="00913601">
        <w:rPr>
          <w:lang w:val="en-US"/>
        </w:rPr>
        <w:t xml:space="preserve"> means that there is a </w:t>
      </w:r>
      <w:r w:rsidR="003D737F">
        <w:rPr>
          <w:lang w:val="en-US"/>
        </w:rPr>
        <w:t xml:space="preserve">higher proportion of female </w:t>
      </w:r>
      <w:r w:rsidR="00F503C4">
        <w:rPr>
          <w:lang w:val="en-US"/>
        </w:rPr>
        <w:t>workers</w:t>
      </w:r>
      <w:r w:rsidR="003D737F">
        <w:rPr>
          <w:lang w:val="en-US"/>
        </w:rPr>
        <w:t xml:space="preserve"> compared to male staff within the SVP. </w:t>
      </w:r>
      <w:r w:rsidR="00F503C4">
        <w:rPr>
          <w:lang w:val="en-US"/>
        </w:rPr>
        <w:t xml:space="preserve">This is higher than the England and Wales populations which account for 51% female and 49% male. </w:t>
      </w:r>
      <w:r w:rsidR="003D737F">
        <w:rPr>
          <w:lang w:val="en-US"/>
        </w:rPr>
        <w:t>This is comparable with the Charity sector where on average</w:t>
      </w:r>
      <w:r w:rsidR="00CD10DA">
        <w:rPr>
          <w:lang w:val="en-US"/>
        </w:rPr>
        <w:t xml:space="preserve"> there are more female staff than male staff. </w:t>
      </w:r>
    </w:p>
    <w:p w14:paraId="78CDCF93" w14:textId="2C81D7E4" w:rsidR="003D737F" w:rsidRDefault="00913601" w:rsidP="00F35194">
      <w:pPr>
        <w:rPr>
          <w:lang w:val="en-US"/>
        </w:rPr>
      </w:pPr>
      <w:r>
        <w:rPr>
          <w:lang w:val="en-US"/>
        </w:rPr>
        <w:t>I</w:t>
      </w:r>
      <w:r w:rsidR="00871BB0">
        <w:rPr>
          <w:lang w:val="en-US"/>
        </w:rPr>
        <w:t>n</w:t>
      </w:r>
      <w:r>
        <w:rPr>
          <w:lang w:val="en-US"/>
        </w:rPr>
        <w:t xml:space="preserve"> the SVP e</w:t>
      </w:r>
      <w:r w:rsidR="00F503C4">
        <w:rPr>
          <w:lang w:val="en-US"/>
        </w:rPr>
        <w:t>ven though there are more females than males in the total workforce, the comparison between contracts, divisions and pay quartiles are all split relatively evenly.</w:t>
      </w:r>
      <w:r w:rsidR="00815253">
        <w:rPr>
          <w:lang w:val="en-US"/>
        </w:rPr>
        <w:t xml:space="preserve"> </w:t>
      </w:r>
      <w:r w:rsidR="0029735F">
        <w:rPr>
          <w:lang w:val="en-US"/>
        </w:rPr>
        <w:t>This reflects our on-going commitment to</w:t>
      </w:r>
      <w:r w:rsidR="00B81933">
        <w:rPr>
          <w:lang w:val="en-US"/>
        </w:rPr>
        <w:t xml:space="preserve"> family-friendly policies including</w:t>
      </w:r>
      <w:r w:rsidR="0029735F" w:rsidRPr="00F35194">
        <w:rPr>
          <w:lang w:val="en-US"/>
        </w:rPr>
        <w:t xml:space="preserve"> </w:t>
      </w:r>
      <w:r w:rsidR="0043551B">
        <w:rPr>
          <w:lang w:val="en-US"/>
        </w:rPr>
        <w:t xml:space="preserve">promoting </w:t>
      </w:r>
      <w:r w:rsidR="0029735F" w:rsidRPr="00F35194">
        <w:rPr>
          <w:lang w:val="en-US"/>
        </w:rPr>
        <w:t>flexible working, varied working patterns</w:t>
      </w:r>
      <w:r w:rsidR="00B81933">
        <w:rPr>
          <w:lang w:val="en-US"/>
        </w:rPr>
        <w:t xml:space="preserve"> and</w:t>
      </w:r>
      <w:r w:rsidR="0029735F" w:rsidRPr="00F35194">
        <w:rPr>
          <w:lang w:val="en-US"/>
        </w:rPr>
        <w:t xml:space="preserve"> </w:t>
      </w:r>
      <w:proofErr w:type="gramStart"/>
      <w:r w:rsidR="0029735F" w:rsidRPr="00F35194">
        <w:rPr>
          <w:lang w:val="en-US"/>
        </w:rPr>
        <w:t>home-working</w:t>
      </w:r>
      <w:proofErr w:type="gramEnd"/>
      <w:r w:rsidR="00B81933">
        <w:rPr>
          <w:lang w:val="en-US"/>
        </w:rPr>
        <w:t xml:space="preserve"> as well as</w:t>
      </w:r>
      <w:r w:rsidR="0029735F" w:rsidRPr="00F35194">
        <w:rPr>
          <w:lang w:val="en-US"/>
        </w:rPr>
        <w:t xml:space="preserve"> </w:t>
      </w:r>
      <w:r w:rsidR="00B81933">
        <w:rPr>
          <w:lang w:val="en-US"/>
        </w:rPr>
        <w:t xml:space="preserve">enhanced </w:t>
      </w:r>
      <w:r w:rsidR="0029735F" w:rsidRPr="00F35194">
        <w:rPr>
          <w:lang w:val="en-US"/>
        </w:rPr>
        <w:t>family leave</w:t>
      </w:r>
      <w:r w:rsidR="00815253">
        <w:rPr>
          <w:lang w:val="en-US"/>
        </w:rPr>
        <w:t>.</w:t>
      </w:r>
    </w:p>
    <w:p w14:paraId="653F1E58" w14:textId="0E91F748" w:rsidR="00F503C4" w:rsidRPr="006F64EC" w:rsidRDefault="00913601" w:rsidP="00F503C4">
      <w:pPr>
        <w:rPr>
          <w:lang w:val="en-US"/>
        </w:rPr>
      </w:pPr>
      <w:r>
        <w:rPr>
          <w:lang w:val="en-US"/>
        </w:rPr>
        <w:t>The only b</w:t>
      </w:r>
      <w:r w:rsidR="00F503C4" w:rsidRPr="006F64EC">
        <w:rPr>
          <w:lang w:val="en-US"/>
        </w:rPr>
        <w:t>onus pay for the SVP refers to monetary awards to recognise employee long service in line with the SVP Long Service Award Scheme</w:t>
      </w:r>
      <w:r w:rsidR="00F503C4">
        <w:rPr>
          <w:lang w:val="en-US"/>
        </w:rPr>
        <w:t xml:space="preserve"> and is </w:t>
      </w:r>
      <w:r w:rsidR="005465FA">
        <w:rPr>
          <w:lang w:val="en-US"/>
        </w:rPr>
        <w:t>solely</w:t>
      </w:r>
      <w:r w:rsidR="00F503C4">
        <w:rPr>
          <w:lang w:val="en-US"/>
        </w:rPr>
        <w:t xml:space="preserve"> based on length of service</w:t>
      </w:r>
      <w:r w:rsidR="00F503C4" w:rsidRPr="006F64EC">
        <w:rPr>
          <w:lang w:val="en-US"/>
        </w:rPr>
        <w:t xml:space="preserve">. </w:t>
      </w:r>
      <w:r w:rsidR="00F503C4">
        <w:rPr>
          <w:lang w:val="en-US"/>
        </w:rPr>
        <w:t xml:space="preserve">No other bonuses are offered. This will be slightly skewed as long service award payments are calculated on a pro rata basis based on the number of contracted hours therefore this varies from full to part time staff. </w:t>
      </w:r>
    </w:p>
    <w:p w14:paraId="44E22D14" w14:textId="669E809F" w:rsidR="00F35194" w:rsidRDefault="00F35194" w:rsidP="00F35194">
      <w:pPr>
        <w:rPr>
          <w:lang w:val="en-US"/>
        </w:rPr>
      </w:pPr>
      <w:r w:rsidRPr="00F35194">
        <w:rPr>
          <w:lang w:val="en-US"/>
        </w:rPr>
        <w:t xml:space="preserve">We are pleased to see </w:t>
      </w:r>
      <w:r w:rsidR="00F503C4">
        <w:rPr>
          <w:lang w:val="en-US"/>
        </w:rPr>
        <w:t>a narrow gender pay gap but would like to work closing the gap further this year. To do this, we plan to implement the following measures:</w:t>
      </w:r>
    </w:p>
    <w:p w14:paraId="49CC4EBF" w14:textId="0F709CE2" w:rsidR="00F503C4" w:rsidRPr="00A366DA" w:rsidRDefault="00F503C4" w:rsidP="00A366DA">
      <w:pPr>
        <w:pStyle w:val="ListParagraph"/>
        <w:numPr>
          <w:ilvl w:val="0"/>
          <w:numId w:val="3"/>
        </w:numPr>
        <w:rPr>
          <w:lang w:val="en-US"/>
        </w:rPr>
      </w:pPr>
      <w:r w:rsidRPr="00A366DA">
        <w:rPr>
          <w:lang w:val="en-US"/>
        </w:rPr>
        <w:t xml:space="preserve">Job Evaluations &amp; Pay Structures – </w:t>
      </w:r>
      <w:r w:rsidR="00481F6A">
        <w:rPr>
          <w:lang w:val="en-US"/>
        </w:rPr>
        <w:t xml:space="preserve">We are in the final stages of conducting a </w:t>
      </w:r>
      <w:r w:rsidRPr="00A366DA">
        <w:rPr>
          <w:lang w:val="en-US"/>
        </w:rPr>
        <w:t xml:space="preserve">full job evaluation </w:t>
      </w:r>
      <w:r w:rsidR="00CE3E06">
        <w:rPr>
          <w:lang w:val="en-US"/>
        </w:rPr>
        <w:t xml:space="preserve">and salary </w:t>
      </w:r>
      <w:r w:rsidR="005465FA" w:rsidRPr="00A366DA">
        <w:rPr>
          <w:lang w:val="en-US"/>
        </w:rPr>
        <w:t>benchmarking exercise</w:t>
      </w:r>
      <w:r w:rsidR="00CE3E06">
        <w:rPr>
          <w:lang w:val="en-US"/>
        </w:rPr>
        <w:t xml:space="preserve">. This will then be followed by a </w:t>
      </w:r>
      <w:r w:rsidR="005465FA" w:rsidRPr="00A366DA">
        <w:rPr>
          <w:lang w:val="en-US"/>
        </w:rPr>
        <w:t xml:space="preserve">full review of our pay and </w:t>
      </w:r>
      <w:r w:rsidR="00CE3E06">
        <w:rPr>
          <w:lang w:val="en-US"/>
        </w:rPr>
        <w:t>banding</w:t>
      </w:r>
      <w:r w:rsidR="005465FA" w:rsidRPr="00A366DA">
        <w:rPr>
          <w:lang w:val="en-US"/>
        </w:rPr>
        <w:t xml:space="preserve"> structure. This is a big commitment to staff and will </w:t>
      </w:r>
      <w:r w:rsidR="00A366DA" w:rsidRPr="00A366DA">
        <w:rPr>
          <w:lang w:val="en-US"/>
        </w:rPr>
        <w:t>give pay</w:t>
      </w:r>
      <w:r w:rsidR="005465FA" w:rsidRPr="00A366DA">
        <w:rPr>
          <w:lang w:val="en-US"/>
        </w:rPr>
        <w:t xml:space="preserve"> transparency to ensure everyone receives fair pay for the work they do. </w:t>
      </w:r>
    </w:p>
    <w:p w14:paraId="0CA1283E" w14:textId="6D61ECF1" w:rsidR="005465FA" w:rsidRPr="00FB3E67" w:rsidRDefault="005465FA" w:rsidP="00A366DA">
      <w:pPr>
        <w:pStyle w:val="ListParagraph"/>
        <w:numPr>
          <w:ilvl w:val="0"/>
          <w:numId w:val="3"/>
        </w:numPr>
        <w:rPr>
          <w:lang w:val="en-US"/>
        </w:rPr>
      </w:pPr>
      <w:r w:rsidRPr="00FB3E67">
        <w:rPr>
          <w:lang w:val="en-US"/>
        </w:rPr>
        <w:t xml:space="preserve">Diversity &amp; Inclusion Strategy – </w:t>
      </w:r>
      <w:r w:rsidR="00F27983" w:rsidRPr="00FB3E67">
        <w:rPr>
          <w:lang w:val="en-US"/>
        </w:rPr>
        <w:t xml:space="preserve">We are committed to </w:t>
      </w:r>
      <w:r w:rsidR="00015D39" w:rsidRPr="00FB3E67">
        <w:rPr>
          <w:lang w:val="en-US"/>
        </w:rPr>
        <w:t>promoting the benefits of diversity and inclusion</w:t>
      </w:r>
      <w:r w:rsidR="00086766" w:rsidRPr="00FB3E67">
        <w:rPr>
          <w:lang w:val="en-US"/>
        </w:rPr>
        <w:t xml:space="preserve"> across the SVP. We </w:t>
      </w:r>
      <w:r w:rsidR="00E00E9E" w:rsidRPr="00FB3E67">
        <w:rPr>
          <w:lang w:val="en-US"/>
        </w:rPr>
        <w:t xml:space="preserve">have </w:t>
      </w:r>
      <w:r w:rsidR="00086766" w:rsidRPr="00FB3E67">
        <w:rPr>
          <w:lang w:val="en-US"/>
        </w:rPr>
        <w:t>develop</w:t>
      </w:r>
      <w:r w:rsidR="00E00E9E" w:rsidRPr="00FB3E67">
        <w:rPr>
          <w:lang w:val="en-US"/>
        </w:rPr>
        <w:t>ed</w:t>
      </w:r>
      <w:r w:rsidR="00086766" w:rsidRPr="00FB3E67">
        <w:rPr>
          <w:lang w:val="en-US"/>
        </w:rPr>
        <w:t xml:space="preserve"> a diversity &amp; inclusion strategy </w:t>
      </w:r>
      <w:r w:rsidR="007A446E" w:rsidRPr="00FB3E67">
        <w:rPr>
          <w:lang w:val="en-US"/>
        </w:rPr>
        <w:t>that focus on improving the diversity of our workforce</w:t>
      </w:r>
      <w:r w:rsidR="00F25160" w:rsidRPr="00FB3E67">
        <w:rPr>
          <w:lang w:val="en-US"/>
        </w:rPr>
        <w:t xml:space="preserve"> and em</w:t>
      </w:r>
      <w:r w:rsidR="00644DCF" w:rsidRPr="00FB3E67">
        <w:rPr>
          <w:lang w:val="en-US"/>
        </w:rPr>
        <w:t>bedding inclusion</w:t>
      </w:r>
      <w:r w:rsidR="007A446E" w:rsidRPr="00FB3E67">
        <w:rPr>
          <w:lang w:val="en-US"/>
        </w:rPr>
        <w:t xml:space="preserve">. </w:t>
      </w:r>
      <w:r w:rsidR="00E00E9E" w:rsidRPr="00FB3E67">
        <w:rPr>
          <w:lang w:val="en-US"/>
        </w:rPr>
        <w:t>We have also cre</w:t>
      </w:r>
      <w:r w:rsidR="004D1CF5" w:rsidRPr="00FB3E67">
        <w:rPr>
          <w:lang w:val="en-US"/>
        </w:rPr>
        <w:t xml:space="preserve">ated an EDI working group who meet quarterly </w:t>
      </w:r>
      <w:r w:rsidR="00FB3E67" w:rsidRPr="00FB3E67">
        <w:rPr>
          <w:lang w:val="en-US"/>
        </w:rPr>
        <w:t>to review and update the strategy. Some of the measures include</w:t>
      </w:r>
      <w:r w:rsidR="007A446E" w:rsidRPr="00FB3E67">
        <w:rPr>
          <w:lang w:val="en-US"/>
        </w:rPr>
        <w:t xml:space="preserve"> </w:t>
      </w:r>
      <w:r w:rsidR="00F25160" w:rsidRPr="00FB3E67">
        <w:rPr>
          <w:lang w:val="en-US"/>
        </w:rPr>
        <w:t xml:space="preserve">staff and manager training, </w:t>
      </w:r>
      <w:r w:rsidR="00644DCF" w:rsidRPr="00FB3E67">
        <w:rPr>
          <w:lang w:val="en-US"/>
        </w:rPr>
        <w:t>culture review, policy and procedure reviews</w:t>
      </w:r>
      <w:r w:rsidR="00FB3E67">
        <w:rPr>
          <w:lang w:val="en-US"/>
        </w:rPr>
        <w:t xml:space="preserve"> </w:t>
      </w:r>
      <w:r w:rsidR="007F14CF" w:rsidRPr="00FB3E67">
        <w:rPr>
          <w:lang w:val="en-US"/>
        </w:rPr>
        <w:t xml:space="preserve">and </w:t>
      </w:r>
      <w:r w:rsidR="00641B97" w:rsidRPr="00FB3E67">
        <w:rPr>
          <w:lang w:val="en-US"/>
        </w:rPr>
        <w:t>reverse mentoring</w:t>
      </w:r>
      <w:r w:rsidR="007F14CF" w:rsidRPr="00FB3E67">
        <w:rPr>
          <w:lang w:val="en-US"/>
        </w:rPr>
        <w:t xml:space="preserve">. We are confident this </w:t>
      </w:r>
      <w:r w:rsidR="00183699" w:rsidRPr="00FB3E67">
        <w:rPr>
          <w:lang w:val="en-US"/>
        </w:rPr>
        <w:t xml:space="preserve">will enable us to have a better understanding of </w:t>
      </w:r>
      <w:r w:rsidR="00D90EB3" w:rsidRPr="00FB3E67">
        <w:rPr>
          <w:lang w:val="en-US"/>
        </w:rPr>
        <w:t xml:space="preserve">any </w:t>
      </w:r>
      <w:r w:rsidR="00183699" w:rsidRPr="00FB3E67">
        <w:rPr>
          <w:lang w:val="en-US"/>
        </w:rPr>
        <w:t xml:space="preserve">barriers </w:t>
      </w:r>
      <w:r w:rsidR="00D90EB3" w:rsidRPr="00FB3E67">
        <w:rPr>
          <w:lang w:val="en-US"/>
        </w:rPr>
        <w:t xml:space="preserve">staff say they face working or being </w:t>
      </w:r>
      <w:r w:rsidR="00A366DA" w:rsidRPr="00FB3E67">
        <w:rPr>
          <w:lang w:val="en-US"/>
        </w:rPr>
        <w:t>recruited in</w:t>
      </w:r>
      <w:r w:rsidR="00D90EB3" w:rsidRPr="00FB3E67">
        <w:rPr>
          <w:lang w:val="en-US"/>
        </w:rPr>
        <w:t xml:space="preserve"> </w:t>
      </w:r>
      <w:r w:rsidR="00183699" w:rsidRPr="00FB3E67">
        <w:rPr>
          <w:lang w:val="en-US"/>
        </w:rPr>
        <w:t xml:space="preserve">the SVP. </w:t>
      </w:r>
    </w:p>
    <w:p w14:paraId="5C8F4482" w14:textId="24CBA9F0" w:rsidR="00F35194" w:rsidRPr="00A366DA" w:rsidRDefault="00D81E40" w:rsidP="00A366DA">
      <w:pPr>
        <w:pStyle w:val="ListParagraph"/>
        <w:numPr>
          <w:ilvl w:val="0"/>
          <w:numId w:val="3"/>
        </w:numPr>
        <w:rPr>
          <w:lang w:val="en-US"/>
        </w:rPr>
      </w:pPr>
      <w:r w:rsidRPr="00A366DA">
        <w:rPr>
          <w:lang w:val="en-US"/>
        </w:rPr>
        <w:t xml:space="preserve">Recruitment Policy Review – We </w:t>
      </w:r>
      <w:r w:rsidR="00897560" w:rsidRPr="00A366DA">
        <w:rPr>
          <w:lang w:val="en-US"/>
        </w:rPr>
        <w:t xml:space="preserve">are currently undertaking a full review of our recruitment policy to tackle the under representation </w:t>
      </w:r>
      <w:r w:rsidR="00F214B5" w:rsidRPr="00A366DA">
        <w:rPr>
          <w:lang w:val="en-US"/>
        </w:rPr>
        <w:t xml:space="preserve">of males across the Society. The first step </w:t>
      </w:r>
      <w:r w:rsidR="00D5342A" w:rsidRPr="00A366DA">
        <w:rPr>
          <w:lang w:val="en-US"/>
        </w:rPr>
        <w:t xml:space="preserve">to this is the introduction of a robust data collection </w:t>
      </w:r>
      <w:r w:rsidR="0080097D" w:rsidRPr="00A366DA">
        <w:rPr>
          <w:lang w:val="en-US"/>
        </w:rPr>
        <w:t>exercise</w:t>
      </w:r>
      <w:r w:rsidR="00D5342A" w:rsidRPr="00A366DA">
        <w:rPr>
          <w:lang w:val="en-US"/>
        </w:rPr>
        <w:t xml:space="preserve"> to </w:t>
      </w:r>
      <w:r w:rsidR="00904A01" w:rsidRPr="00A366DA">
        <w:rPr>
          <w:lang w:val="en-US"/>
        </w:rPr>
        <w:t>understand proportions of males and females applied verses successful candidate</w:t>
      </w:r>
      <w:r w:rsidR="0080097D" w:rsidRPr="00A366DA">
        <w:rPr>
          <w:lang w:val="en-US"/>
        </w:rPr>
        <w:t xml:space="preserve"> as well as data on internal promotions. </w:t>
      </w:r>
    </w:p>
    <w:p w14:paraId="145A64EC" w14:textId="1B04C5C8" w:rsidR="004B3FFC" w:rsidRDefault="002503FE" w:rsidP="00110EFC">
      <w:pPr>
        <w:rPr>
          <w:lang w:val="en-US"/>
        </w:rPr>
      </w:pPr>
      <w:r>
        <w:rPr>
          <w:lang w:val="en-US"/>
        </w:rPr>
        <w:t>By implementing these measures, we would like to see</w:t>
      </w:r>
      <w:r w:rsidR="004A242B">
        <w:rPr>
          <w:lang w:val="en-US"/>
        </w:rPr>
        <w:t xml:space="preserve"> a positive effect to our gender pay gap. </w:t>
      </w:r>
    </w:p>
    <w:p w14:paraId="1D66EA91" w14:textId="32A1E166" w:rsidR="00E13B5C" w:rsidRPr="00110EFC" w:rsidRDefault="00BF3032" w:rsidP="00E13B5C">
      <w:pPr>
        <w:rPr>
          <w:lang w:val="en-US"/>
        </w:rPr>
      </w:pPr>
      <w:bookmarkStart w:id="0" w:name="_Hlk79071803"/>
      <w:r>
        <w:rPr>
          <w:lang w:val="en-US"/>
        </w:rPr>
        <w:t xml:space="preserve"> </w:t>
      </w:r>
      <w:bookmarkEnd w:id="0"/>
    </w:p>
    <w:sectPr w:rsidR="00E13B5C" w:rsidRPr="00110EFC" w:rsidSect="006F64EC">
      <w:pgSz w:w="11906" w:h="16838"/>
      <w:pgMar w:top="1440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35821"/>
    <w:multiLevelType w:val="hybridMultilevel"/>
    <w:tmpl w:val="5F047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3D13E2"/>
    <w:multiLevelType w:val="hybridMultilevel"/>
    <w:tmpl w:val="FF4A5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F74071"/>
    <w:multiLevelType w:val="hybridMultilevel"/>
    <w:tmpl w:val="14A683D8"/>
    <w:lvl w:ilvl="0" w:tplc="485A30C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EB5"/>
    <w:rsid w:val="000130C8"/>
    <w:rsid w:val="00013625"/>
    <w:rsid w:val="00015D39"/>
    <w:rsid w:val="0002521F"/>
    <w:rsid w:val="0003636E"/>
    <w:rsid w:val="00086766"/>
    <w:rsid w:val="000E1C5B"/>
    <w:rsid w:val="00110EFC"/>
    <w:rsid w:val="0016785D"/>
    <w:rsid w:val="00177071"/>
    <w:rsid w:val="00183699"/>
    <w:rsid w:val="00213FBD"/>
    <w:rsid w:val="002503FE"/>
    <w:rsid w:val="00266DCC"/>
    <w:rsid w:val="002835A0"/>
    <w:rsid w:val="0029735F"/>
    <w:rsid w:val="00353D56"/>
    <w:rsid w:val="00385000"/>
    <w:rsid w:val="00391C85"/>
    <w:rsid w:val="003D4090"/>
    <w:rsid w:val="003D737F"/>
    <w:rsid w:val="003D7BF4"/>
    <w:rsid w:val="00413F14"/>
    <w:rsid w:val="00423F6B"/>
    <w:rsid w:val="0043551B"/>
    <w:rsid w:val="0045641F"/>
    <w:rsid w:val="004604FE"/>
    <w:rsid w:val="004747D1"/>
    <w:rsid w:val="00481F6A"/>
    <w:rsid w:val="004A242B"/>
    <w:rsid w:val="004B3FFC"/>
    <w:rsid w:val="004D00E1"/>
    <w:rsid w:val="004D1CF5"/>
    <w:rsid w:val="004D3322"/>
    <w:rsid w:val="004D5B40"/>
    <w:rsid w:val="005162E8"/>
    <w:rsid w:val="005208DE"/>
    <w:rsid w:val="005465FA"/>
    <w:rsid w:val="005A693B"/>
    <w:rsid w:val="005E0B6E"/>
    <w:rsid w:val="005E2919"/>
    <w:rsid w:val="00641B97"/>
    <w:rsid w:val="00644DCF"/>
    <w:rsid w:val="006C0341"/>
    <w:rsid w:val="006D3774"/>
    <w:rsid w:val="006F2879"/>
    <w:rsid w:val="006F64EC"/>
    <w:rsid w:val="00722396"/>
    <w:rsid w:val="0072418B"/>
    <w:rsid w:val="00797F6F"/>
    <w:rsid w:val="007A446E"/>
    <w:rsid w:val="007A4FEA"/>
    <w:rsid w:val="007D2CBE"/>
    <w:rsid w:val="007F14CF"/>
    <w:rsid w:val="0080097D"/>
    <w:rsid w:val="00815253"/>
    <w:rsid w:val="00871BB0"/>
    <w:rsid w:val="0088407C"/>
    <w:rsid w:val="00897560"/>
    <w:rsid w:val="008A479A"/>
    <w:rsid w:val="008A7BD0"/>
    <w:rsid w:val="008B0E51"/>
    <w:rsid w:val="008D77AC"/>
    <w:rsid w:val="00904A01"/>
    <w:rsid w:val="00913601"/>
    <w:rsid w:val="0092763D"/>
    <w:rsid w:val="009334BF"/>
    <w:rsid w:val="0098388A"/>
    <w:rsid w:val="009A7FF5"/>
    <w:rsid w:val="009C54ED"/>
    <w:rsid w:val="009D736A"/>
    <w:rsid w:val="009D7D8E"/>
    <w:rsid w:val="009F434B"/>
    <w:rsid w:val="00A211AB"/>
    <w:rsid w:val="00A22537"/>
    <w:rsid w:val="00A366DA"/>
    <w:rsid w:val="00A37C15"/>
    <w:rsid w:val="00AE331B"/>
    <w:rsid w:val="00AE5EB5"/>
    <w:rsid w:val="00B02C86"/>
    <w:rsid w:val="00B47CDE"/>
    <w:rsid w:val="00B81933"/>
    <w:rsid w:val="00BF3032"/>
    <w:rsid w:val="00C60AB7"/>
    <w:rsid w:val="00C65344"/>
    <w:rsid w:val="00C93B85"/>
    <w:rsid w:val="00CA439F"/>
    <w:rsid w:val="00CD03BF"/>
    <w:rsid w:val="00CD10DA"/>
    <w:rsid w:val="00CD42AD"/>
    <w:rsid w:val="00CE3E06"/>
    <w:rsid w:val="00D2676D"/>
    <w:rsid w:val="00D45BAD"/>
    <w:rsid w:val="00D5342A"/>
    <w:rsid w:val="00D81E40"/>
    <w:rsid w:val="00D90C70"/>
    <w:rsid w:val="00D90EB3"/>
    <w:rsid w:val="00DD2AEC"/>
    <w:rsid w:val="00DE0758"/>
    <w:rsid w:val="00E00E9E"/>
    <w:rsid w:val="00E13B5C"/>
    <w:rsid w:val="00E57F92"/>
    <w:rsid w:val="00E75FB6"/>
    <w:rsid w:val="00E76399"/>
    <w:rsid w:val="00E83E7A"/>
    <w:rsid w:val="00E84CA0"/>
    <w:rsid w:val="00EE4F46"/>
    <w:rsid w:val="00F214B5"/>
    <w:rsid w:val="00F25160"/>
    <w:rsid w:val="00F27983"/>
    <w:rsid w:val="00F35194"/>
    <w:rsid w:val="00F503C4"/>
    <w:rsid w:val="00F72653"/>
    <w:rsid w:val="00FA302D"/>
    <w:rsid w:val="00FB2F63"/>
    <w:rsid w:val="00FB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C18F7"/>
  <w15:chartTrackingRefBased/>
  <w15:docId w15:val="{361DCE1B-BCD6-4E30-A5A5-340B737C5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0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chart" Target="charts/chart5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hart" Target="charts/chart4.xml"/><Relationship Id="rId5" Type="http://schemas.openxmlformats.org/officeDocument/2006/relationships/styles" Target="styles.xml"/><Relationship Id="rId10" Type="http://schemas.openxmlformats.org/officeDocument/2006/relationships/chart" Target="charts/chart3.xml"/><Relationship Id="rId4" Type="http://schemas.openxmlformats.org/officeDocument/2006/relationships/numbering" Target="numbering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https://stvincentdepaulsociety.sharepoint.com/HR/Payroll%20Documents/Payroll/Gender%20Pay%20Gap/April%202020/Workings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arlottef\AppData\Roaming\Microsoft\Excel\Workings%20(version%201)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arlottef\AppData\Roaming\Microsoft\Excel\Workings%20(version%201)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arlottef\AppData\Roaming\Microsoft\Excel\Workings%20(version%201)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charlottef\AppData\Roaming\Microsoft\Excel\Workings%20(version%201)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Gender</a:t>
            </a:r>
            <a:r>
              <a:rPr lang="en-GB" baseline="0"/>
              <a:t> Breakdown</a:t>
            </a:r>
            <a:endParaRPr lang="en-GB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explosion val="7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B7E6-4F67-8B68-9D4111833301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B7E6-4F67-8B68-9D411183330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Graphs!$A$2:$A$3</c:f>
              <c:strCache>
                <c:ptCount val="2"/>
                <c:pt idx="0">
                  <c:v>Male</c:v>
                </c:pt>
                <c:pt idx="1">
                  <c:v>Female</c:v>
                </c:pt>
              </c:strCache>
            </c:strRef>
          </c:cat>
          <c:val>
            <c:numRef>
              <c:f>Graphs!$B$2:$B$3</c:f>
              <c:numCache>
                <c:formatCode>0.00%</c:formatCode>
                <c:ptCount val="2"/>
                <c:pt idx="0">
                  <c:v>0.32</c:v>
                </c:pt>
                <c:pt idx="1">
                  <c:v>0.68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7E6-4F67-8B68-9D411183330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03965182318312"/>
          <c:y val="0.79479267166702972"/>
          <c:w val="0.45937953718361402"/>
          <c:h val="0.1379358971458218"/>
        </c:manualLayout>
      </c:layout>
      <c:overlay val="0"/>
      <c:spPr>
        <a:noFill/>
        <a:ln>
          <a:noFill/>
        </a:ln>
        <a:effectLst/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Workforce Gender by Division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Graphs!$B$5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rgbClr val="4472C4"/>
            </a:solidFill>
            <a:ln w="25400">
              <a:noFill/>
            </a:ln>
          </c:spPr>
          <c:invertIfNegative val="0"/>
          <c:cat>
            <c:strRef>
              <c:f>Graphs!$A$6:$A$14</c:f>
              <c:strCache>
                <c:ptCount val="9"/>
                <c:pt idx="0">
                  <c:v>Depots</c:v>
                </c:pt>
                <c:pt idx="1">
                  <c:v>Executive</c:v>
                </c:pt>
                <c:pt idx="2">
                  <c:v>Finance</c:v>
                </c:pt>
                <c:pt idx="3">
                  <c:v>FMC</c:v>
                </c:pt>
                <c:pt idx="4">
                  <c:v>G &amp; C</c:v>
                </c:pt>
                <c:pt idx="5">
                  <c:v>Hostel</c:v>
                </c:pt>
                <c:pt idx="6">
                  <c:v>Membership</c:v>
                </c:pt>
                <c:pt idx="7">
                  <c:v>Retail</c:v>
                </c:pt>
                <c:pt idx="8">
                  <c:v>Support Centre</c:v>
                </c:pt>
              </c:strCache>
            </c:strRef>
          </c:cat>
          <c:val>
            <c:numRef>
              <c:f>Graphs!$B$6:$B$14</c:f>
              <c:numCache>
                <c:formatCode>0%</c:formatCode>
                <c:ptCount val="9"/>
                <c:pt idx="0">
                  <c:v>1</c:v>
                </c:pt>
                <c:pt idx="1">
                  <c:v>0.33</c:v>
                </c:pt>
                <c:pt idx="2">
                  <c:v>0.33</c:v>
                </c:pt>
                <c:pt idx="3">
                  <c:v>0.27</c:v>
                </c:pt>
                <c:pt idx="4">
                  <c:v>0.25</c:v>
                </c:pt>
                <c:pt idx="5">
                  <c:v>0.33</c:v>
                </c:pt>
                <c:pt idx="6">
                  <c:v>0.38</c:v>
                </c:pt>
                <c:pt idx="7">
                  <c:v>0.18</c:v>
                </c:pt>
                <c:pt idx="8">
                  <c:v>0.33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01-48AD-AD78-9FCF230E4DCE}"/>
            </c:ext>
          </c:extLst>
        </c:ser>
        <c:ser>
          <c:idx val="1"/>
          <c:order val="1"/>
          <c:tx>
            <c:strRef>
              <c:f>Graphs!$C$5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cat>
            <c:strRef>
              <c:f>Graphs!$A$6:$A$14</c:f>
              <c:strCache>
                <c:ptCount val="9"/>
                <c:pt idx="0">
                  <c:v>Depots</c:v>
                </c:pt>
                <c:pt idx="1">
                  <c:v>Executive</c:v>
                </c:pt>
                <c:pt idx="2">
                  <c:v>Finance</c:v>
                </c:pt>
                <c:pt idx="3">
                  <c:v>FMC</c:v>
                </c:pt>
                <c:pt idx="4">
                  <c:v>G &amp; C</c:v>
                </c:pt>
                <c:pt idx="5">
                  <c:v>Hostel</c:v>
                </c:pt>
                <c:pt idx="6">
                  <c:v>Membership</c:v>
                </c:pt>
                <c:pt idx="7">
                  <c:v>Retail</c:v>
                </c:pt>
                <c:pt idx="8">
                  <c:v>Support Centre</c:v>
                </c:pt>
              </c:strCache>
            </c:strRef>
          </c:cat>
          <c:val>
            <c:numRef>
              <c:f>Graphs!$C$6:$C$14</c:f>
              <c:numCache>
                <c:formatCode>0%</c:formatCode>
                <c:ptCount val="9"/>
                <c:pt idx="0">
                  <c:v>0</c:v>
                </c:pt>
                <c:pt idx="1">
                  <c:v>0.67</c:v>
                </c:pt>
                <c:pt idx="2">
                  <c:v>0.67</c:v>
                </c:pt>
                <c:pt idx="3">
                  <c:v>0.79</c:v>
                </c:pt>
                <c:pt idx="4">
                  <c:v>0.75</c:v>
                </c:pt>
                <c:pt idx="5">
                  <c:v>0.67</c:v>
                </c:pt>
                <c:pt idx="6">
                  <c:v>0.62</c:v>
                </c:pt>
                <c:pt idx="7">
                  <c:v>0.82</c:v>
                </c:pt>
                <c:pt idx="8">
                  <c:v>0.67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01-48AD-AD78-9FCF230E4DC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145341695"/>
        <c:axId val="1"/>
      </c:barChart>
      <c:catAx>
        <c:axId val="1145341695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  <c:max val="1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45341695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35803665755169722"/>
          <c:y val="0.84869563659491365"/>
          <c:w val="0.26749874810056634"/>
          <c:h val="9.4279134919455831E-2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Proportion of Females Receiving a Bonus Payment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5F71-4BF3-AC1E-CA8270AB366B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5F71-4BF3-AC1E-CA8270AB366B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Graphs!$A$17:$A$18</c:f>
              <c:strCache>
                <c:ptCount val="2"/>
                <c:pt idx="0">
                  <c:v>Received a Bonus</c:v>
                </c:pt>
                <c:pt idx="1">
                  <c:v>Did not receive a Bonus</c:v>
                </c:pt>
              </c:strCache>
            </c:strRef>
          </c:cat>
          <c:val>
            <c:numRef>
              <c:f>Graphs!$B$17:$B$18</c:f>
              <c:numCache>
                <c:formatCode>0%</c:formatCode>
                <c:ptCount val="2"/>
                <c:pt idx="0">
                  <c:v>0.05</c:v>
                </c:pt>
                <c:pt idx="1">
                  <c:v>0.95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5F71-4BF3-AC1E-CA8270AB36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51901268246980936"/>
          <c:y val="0.76011874523749046"/>
          <c:w val="0.46776613553227109"/>
          <c:h val="0.2286877698755397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Proportion of Males Receiving a Bonus Payment 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C3-40C3-97F4-AE32B71E7F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C3-40C3-97F4-AE32B71E7FED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Graphs!$A$20:$A$21</c:f>
              <c:strCache>
                <c:ptCount val="2"/>
                <c:pt idx="0">
                  <c:v>Received a Bonus</c:v>
                </c:pt>
                <c:pt idx="1">
                  <c:v>Did not receive a Bonus</c:v>
                </c:pt>
              </c:strCache>
            </c:strRef>
          </c:cat>
          <c:val>
            <c:numRef>
              <c:f>Graphs!$B$20:$B$21</c:f>
              <c:numCache>
                <c:formatCode>0%</c:formatCode>
                <c:ptCount val="2"/>
                <c:pt idx="0">
                  <c:v>0.01</c:v>
                </c:pt>
                <c:pt idx="1">
                  <c:v>0.99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1CC3-40C3-97F4-AE32B71E7F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483312919218431"/>
          <c:y val="0.77134924867459298"/>
          <c:w val="0.48201953922426366"/>
          <c:h val="0.191407597954638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9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r>
              <a:rPr lang="en-GB"/>
              <a:t>Proportion of Males &amp; Females in Pay Quartiles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'Gender Pay Gap'!$B$8</c:f>
              <c:strCache>
                <c:ptCount val="1"/>
                <c:pt idx="0">
                  <c:v>Male</c:v>
                </c:pt>
              </c:strCache>
            </c:strRef>
          </c:tx>
          <c:spPr>
            <a:solidFill>
              <a:srgbClr val="4472C4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'Gender Pay Gap'!$A$9:$A$12</c:f>
              <c:strCache>
                <c:ptCount val="4"/>
                <c:pt idx="0">
                  <c:v>Lower Quartile</c:v>
                </c:pt>
                <c:pt idx="1">
                  <c:v>Lower Middle Quartile</c:v>
                </c:pt>
                <c:pt idx="2">
                  <c:v>Upper Middle Quartile</c:v>
                </c:pt>
                <c:pt idx="3">
                  <c:v>Upper Quartile</c:v>
                </c:pt>
              </c:strCache>
            </c:strRef>
          </c:cat>
          <c:val>
            <c:numRef>
              <c:f>'Gender Pay Gap'!$B$9:$B$12</c:f>
              <c:numCache>
                <c:formatCode>0%</c:formatCode>
                <c:ptCount val="4"/>
                <c:pt idx="0">
                  <c:v>0.40539999999999998</c:v>
                </c:pt>
                <c:pt idx="1">
                  <c:v>0.28000000000000003</c:v>
                </c:pt>
                <c:pt idx="2">
                  <c:v>0.28000000000000003</c:v>
                </c:pt>
                <c:pt idx="3">
                  <c:v>0.35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89-4A77-BE44-E90C277733AF}"/>
            </c:ext>
          </c:extLst>
        </c:ser>
        <c:ser>
          <c:idx val="1"/>
          <c:order val="1"/>
          <c:tx>
            <c:strRef>
              <c:f>'Gender Pay Gap'!$C$8</c:f>
              <c:strCache>
                <c:ptCount val="1"/>
                <c:pt idx="0">
                  <c:v>Female</c:v>
                </c:pt>
              </c:strCache>
            </c:strRef>
          </c:tx>
          <c:spPr>
            <a:solidFill>
              <a:srgbClr val="ED7D31"/>
            </a:solidFill>
            <a:ln w="25400">
              <a:noFill/>
            </a:ln>
          </c:spPr>
          <c:invertIfNegative val="0"/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0" i="0" u="none" strike="noStrike" baseline="0">
                    <a:solidFill>
                      <a:srgbClr val="333333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'Gender Pay Gap'!$A$9:$A$12</c:f>
              <c:strCache>
                <c:ptCount val="4"/>
                <c:pt idx="0">
                  <c:v>Lower Quartile</c:v>
                </c:pt>
                <c:pt idx="1">
                  <c:v>Lower Middle Quartile</c:v>
                </c:pt>
                <c:pt idx="2">
                  <c:v>Upper Middle Quartile</c:v>
                </c:pt>
                <c:pt idx="3">
                  <c:v>Upper Quartile</c:v>
                </c:pt>
              </c:strCache>
            </c:strRef>
          </c:cat>
          <c:val>
            <c:numRef>
              <c:f>'Gender Pay Gap'!$C$9:$C$12</c:f>
              <c:numCache>
                <c:formatCode>0%</c:formatCode>
                <c:ptCount val="4"/>
                <c:pt idx="0">
                  <c:v>0.59460000000000002</c:v>
                </c:pt>
                <c:pt idx="1">
                  <c:v>0.72</c:v>
                </c:pt>
                <c:pt idx="2">
                  <c:v>0.72</c:v>
                </c:pt>
                <c:pt idx="3">
                  <c:v>0.65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89-4A77-BE44-E90C277733A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145343359"/>
        <c:axId val="1"/>
      </c:barChart>
      <c:catAx>
        <c:axId val="114534335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"/>
        <c:crosses val="autoZero"/>
        <c:auto val="1"/>
        <c:lblAlgn val="ctr"/>
        <c:lblOffset val="100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ln w="6350">
            <a:noFill/>
          </a:ln>
        </c:spPr>
        <c:txPr>
          <a:bodyPr rot="0" vert="horz"/>
          <a:lstStyle/>
          <a:p>
            <a:pPr>
              <a:defRPr sz="900" b="0" i="0" u="none" strike="noStrike" baseline="0">
                <a:solidFill>
                  <a:srgbClr val="333333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1145343359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88752220541968674"/>
          <c:y val="0.1667288836304788"/>
          <c:w val="0.10211260016339017"/>
          <c:h val="0.1490388669032951"/>
        </c:manualLayout>
      </c:layout>
      <c:overlay val="0"/>
      <c:spPr>
        <a:noFill/>
        <a:ln w="25400">
          <a:noFill/>
        </a:ln>
      </c:spPr>
      <c:txPr>
        <a:bodyPr/>
        <a:lstStyle/>
        <a:p>
          <a:pPr>
            <a:defRPr sz="825" b="0" i="0" u="none" strike="noStrike" baseline="0">
              <a:solidFill>
                <a:srgbClr val="333333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1CC3B30246944F91C9E7E98B90D2B2" ma:contentTypeVersion="13" ma:contentTypeDescription="Create a new document." ma:contentTypeScope="" ma:versionID="59e7d956b13373c0f8b1c34491e23cbf">
  <xsd:schema xmlns:xsd="http://www.w3.org/2001/XMLSchema" xmlns:xs="http://www.w3.org/2001/XMLSchema" xmlns:p="http://schemas.microsoft.com/office/2006/metadata/properties" xmlns:ns2="810649fa-5376-4e3e-ab53-abf7d8410e4c" xmlns:ns3="bd772d68-721b-4b43-b5b7-a43c4a09c311" targetNamespace="http://schemas.microsoft.com/office/2006/metadata/properties" ma:root="true" ma:fieldsID="a1056b99de2562587af4a65a843a7150" ns2:_="" ns3:_="">
    <xsd:import namespace="810649fa-5376-4e3e-ab53-abf7d8410e4c"/>
    <xsd:import namespace="bd772d68-721b-4b43-b5b7-a43c4a09c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649fa-5376-4e3e-ab53-abf7d8410e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72d68-721b-4b43-b5b7-a43c4a09c31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BE53DC-5897-4AE2-BBDC-1237D4EBD7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668104-EDE4-4016-86B0-04FF6BA28B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C8864E-1101-4D5B-BAC1-0C2861935F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0649fa-5376-4e3e-ab53-abf7d8410e4c"/>
    <ds:schemaRef ds:uri="bd772d68-721b-4b43-b5b7-a43c4a09c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Fry</dc:creator>
  <cp:keywords/>
  <dc:description/>
  <cp:lastModifiedBy>Charlotte Fry</cp:lastModifiedBy>
  <cp:revision>42</cp:revision>
  <dcterms:created xsi:type="dcterms:W3CDTF">2022-04-04T08:15:00Z</dcterms:created>
  <dcterms:modified xsi:type="dcterms:W3CDTF">2022-04-04T10:03:00Z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0x010100601CC3B30246944F91C9E7E98B90D2B2</vt:lpwstr>
  </property>
</Properties>
</file>